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913E6" w14:textId="4859DE9C" w:rsidR="008616FD" w:rsidRDefault="008616FD" w:rsidP="00EF4D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916A37" wp14:editId="4B2194B4">
            <wp:simplePos x="0" y="0"/>
            <wp:positionH relativeFrom="page">
              <wp:posOffset>5592445</wp:posOffset>
            </wp:positionH>
            <wp:positionV relativeFrom="paragraph">
              <wp:posOffset>-1088390</wp:posOffset>
            </wp:positionV>
            <wp:extent cx="1853565" cy="1122045"/>
            <wp:effectExtent l="0" t="0" r="0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B49AD" w14:textId="00E55CCE" w:rsidR="00EF4DA9" w:rsidRPr="004A426E" w:rsidRDefault="00EF4DA9" w:rsidP="008616FD">
      <w:pPr>
        <w:pStyle w:val="Heading1"/>
        <w:jc w:val="center"/>
      </w:pPr>
      <w:r w:rsidRPr="004A426E">
        <w:t xml:space="preserve">RSO </w:t>
      </w:r>
      <w:r w:rsidR="00E11231">
        <w:t xml:space="preserve">DNLEU </w:t>
      </w:r>
      <w:r w:rsidR="008616FD" w:rsidRPr="004A426E">
        <w:t>PhD</w:t>
      </w:r>
      <w:r w:rsidRPr="004A426E">
        <w:t xml:space="preserve"> call: Guidance for submission and </w:t>
      </w:r>
      <w:r w:rsidR="009D06F4" w:rsidRPr="004A426E">
        <w:t>evaluation</w:t>
      </w:r>
      <w:r w:rsidRPr="004A426E">
        <w:t xml:space="preserve"> criteria</w:t>
      </w:r>
    </w:p>
    <w:p w14:paraId="4C392E7B" w14:textId="29BE9E52" w:rsidR="00EF4DA9" w:rsidRPr="004A426E" w:rsidRDefault="00EF4DA9" w:rsidP="008616FD">
      <w:pPr>
        <w:pStyle w:val="NoSpacing"/>
      </w:pPr>
    </w:p>
    <w:p w14:paraId="10CC7AA5" w14:textId="77777777" w:rsidR="008616FD" w:rsidRPr="004A426E" w:rsidRDefault="008616FD" w:rsidP="008616FD">
      <w:pPr>
        <w:pStyle w:val="NoSpacing"/>
      </w:pPr>
    </w:p>
    <w:p w14:paraId="5F49C73B" w14:textId="67CE0B7F" w:rsidR="00A21B51" w:rsidRPr="004A426E" w:rsidRDefault="00EF4DA9" w:rsidP="0046540C">
      <w:pPr>
        <w:pStyle w:val="NoSpacing"/>
      </w:pPr>
      <w:r w:rsidRPr="004A426E">
        <w:t xml:space="preserve">The Radioactive Waste Management Research Support Office (RWM RSO) is requesting applications </w:t>
      </w:r>
      <w:r w:rsidR="00130DA1">
        <w:t>for</w:t>
      </w:r>
      <w:r w:rsidRPr="004A426E">
        <w:t xml:space="preserve"> two </w:t>
      </w:r>
      <w:r w:rsidR="008F470C" w:rsidRPr="004A426E">
        <w:t xml:space="preserve">PhD </w:t>
      </w:r>
      <w:r w:rsidR="00130DA1">
        <w:t xml:space="preserve">studentships </w:t>
      </w:r>
      <w:r w:rsidR="0096183D">
        <w:t>to improve understanding of the long-term behaviour of alternative backfill for Depleted, Natural and Low-Enriched Uranium (DNLEU) disposal</w:t>
      </w:r>
      <w:r w:rsidR="006270DF" w:rsidRPr="004A426E">
        <w:t xml:space="preserve">. </w:t>
      </w:r>
    </w:p>
    <w:p w14:paraId="6D0B301B" w14:textId="77777777" w:rsidR="00A21B51" w:rsidRPr="004A426E" w:rsidRDefault="00A21B51" w:rsidP="0046540C">
      <w:pPr>
        <w:pStyle w:val="NoSpacing"/>
      </w:pPr>
    </w:p>
    <w:p w14:paraId="680AC19E" w14:textId="113A608E" w:rsidR="0046540C" w:rsidRPr="004A426E" w:rsidRDefault="0046540C" w:rsidP="0046540C">
      <w:pPr>
        <w:pStyle w:val="NoSpacing"/>
      </w:pPr>
      <w:r w:rsidRPr="004A426E">
        <w:t>The aim of the RWM RSO PhD programme is to develop a portfolio of PhD projects focused on key RWM research priorities. The specific aims of the programme are to:</w:t>
      </w:r>
    </w:p>
    <w:p w14:paraId="7FB2B864" w14:textId="77777777" w:rsidR="0046540C" w:rsidRPr="004A426E" w:rsidRDefault="0046540C" w:rsidP="0046540C">
      <w:pPr>
        <w:pStyle w:val="NoSpacing"/>
      </w:pPr>
    </w:p>
    <w:p w14:paraId="0658C70C" w14:textId="56F56D90" w:rsidR="0046540C" w:rsidRPr="004A426E" w:rsidRDefault="0046540C" w:rsidP="0046540C">
      <w:pPr>
        <w:pStyle w:val="NoSpacing"/>
        <w:numPr>
          <w:ilvl w:val="0"/>
          <w:numId w:val="3"/>
        </w:numPr>
        <w:ind w:left="993" w:hanging="633"/>
      </w:pPr>
      <w:r w:rsidRPr="004A426E">
        <w:t>Develop key skills required for RWM’s research mission over the coming decades, and to help deliver the next generation of geological disposal scientists</w:t>
      </w:r>
      <w:r w:rsidR="00A21B51" w:rsidRPr="004A426E">
        <w:t>,</w:t>
      </w:r>
      <w:r w:rsidRPr="004A426E">
        <w:t xml:space="preserve"> engineers</w:t>
      </w:r>
      <w:r w:rsidR="00A21B51" w:rsidRPr="004A426E">
        <w:t xml:space="preserve"> and other researchers;</w:t>
      </w:r>
    </w:p>
    <w:p w14:paraId="2078FE9D" w14:textId="01C3EE7A" w:rsidR="00A21B51" w:rsidRPr="004A426E" w:rsidRDefault="00A21B51" w:rsidP="0046540C">
      <w:pPr>
        <w:pStyle w:val="NoSpacing"/>
        <w:numPr>
          <w:ilvl w:val="0"/>
          <w:numId w:val="3"/>
        </w:numPr>
        <w:ind w:left="993" w:hanging="633"/>
      </w:pPr>
      <w:r w:rsidRPr="004A426E">
        <w:t>Expand all aspects of the geological disposal research community throughout the UK;</w:t>
      </w:r>
    </w:p>
    <w:p w14:paraId="16743F36" w14:textId="4297E260" w:rsidR="0046540C" w:rsidRPr="004A426E" w:rsidRDefault="0046540C" w:rsidP="0046540C">
      <w:pPr>
        <w:pStyle w:val="NoSpacing"/>
        <w:numPr>
          <w:ilvl w:val="0"/>
          <w:numId w:val="3"/>
        </w:numPr>
        <w:ind w:left="993" w:hanging="633"/>
      </w:pPr>
      <w:r w:rsidRPr="004A426E">
        <w:t>Encourage collaboration and communication between RWM and the academic community</w:t>
      </w:r>
      <w:r w:rsidR="00A21B51" w:rsidRPr="004A426E">
        <w:t>.</w:t>
      </w:r>
    </w:p>
    <w:p w14:paraId="7E031596" w14:textId="532A8A9E" w:rsidR="00EF4DA9" w:rsidRPr="004A426E" w:rsidRDefault="00EF4DA9" w:rsidP="00EF4DA9">
      <w:pPr>
        <w:pStyle w:val="NoSpacing"/>
      </w:pPr>
      <w:r w:rsidRPr="004A426E">
        <w:t xml:space="preserve"> </w:t>
      </w:r>
    </w:p>
    <w:p w14:paraId="2214B5E7" w14:textId="4D2B5A96" w:rsidR="006E58DA" w:rsidRPr="004A426E" w:rsidRDefault="006E58DA" w:rsidP="00EF4DA9">
      <w:pPr>
        <w:pStyle w:val="NoSpacing"/>
      </w:pPr>
      <w:r w:rsidRPr="004A426E">
        <w:t>The</w:t>
      </w:r>
      <w:r w:rsidR="00A21B51" w:rsidRPr="004A426E">
        <w:t xml:space="preserve"> </w:t>
      </w:r>
      <w:r w:rsidR="008F470C" w:rsidRPr="004A426E">
        <w:t xml:space="preserve">two PhD </w:t>
      </w:r>
      <w:r w:rsidR="00130DA1">
        <w:t>studentships</w:t>
      </w:r>
      <w:r w:rsidR="008F470C" w:rsidRPr="004A426E">
        <w:t xml:space="preserve"> in the </w:t>
      </w:r>
      <w:r w:rsidR="0096183D">
        <w:t>DNLEU</w:t>
      </w:r>
      <w:r w:rsidR="004A426E" w:rsidRPr="004A426E">
        <w:t xml:space="preserve"> theme </w:t>
      </w:r>
      <w:r w:rsidRPr="004A426E">
        <w:t xml:space="preserve">will </w:t>
      </w:r>
      <w:r w:rsidR="004F0365">
        <w:t>form</w:t>
      </w:r>
      <w:r w:rsidR="00A81109">
        <w:t xml:space="preserve"> part of</w:t>
      </w:r>
      <w:r w:rsidRPr="004A426E">
        <w:t xml:space="preserve"> the RWM RSO PhD studentship scheme</w:t>
      </w:r>
      <w:r w:rsidR="00130DA1">
        <w:t>.</w:t>
      </w:r>
      <w:r w:rsidR="007C6EA5" w:rsidRPr="004A426E">
        <w:t xml:space="preserve"> </w:t>
      </w:r>
      <w:r w:rsidR="00130DA1">
        <w:t>A</w:t>
      </w:r>
      <w:r w:rsidR="007C6EA5" w:rsidRPr="004A426E">
        <w:t>s such</w:t>
      </w:r>
      <w:r w:rsidR="00130DA1">
        <w:t>,</w:t>
      </w:r>
      <w:r w:rsidR="007C6EA5" w:rsidRPr="004A426E">
        <w:t xml:space="preserve"> we are looking </w:t>
      </w:r>
      <w:r w:rsidR="00A81109">
        <w:t>to start these projects</w:t>
      </w:r>
      <w:r w:rsidR="007C6EA5" w:rsidRPr="004A426E">
        <w:t xml:space="preserve"> in October 2021</w:t>
      </w:r>
      <w:r w:rsidRPr="004A426E">
        <w:t>.</w:t>
      </w:r>
      <w:r w:rsidR="007C6EA5" w:rsidRPr="004A426E">
        <w:t xml:space="preserve"> Students funded by RWM through the RSO have access to a growing geological disposal research community, training, and networking opportunities.</w:t>
      </w:r>
      <w:r w:rsidRPr="004A426E">
        <w:t xml:space="preserve"> Each project proposal is expected to cost less than £120,000</w:t>
      </w:r>
      <w:r w:rsidR="0042103F" w:rsidRPr="004A426E">
        <w:t xml:space="preserve"> and RWM is, where possible, </w:t>
      </w:r>
      <w:r w:rsidRPr="004A426E">
        <w:t>seeking co-funding from universities or third parties (either anticipated or confirmed) and/or in-kind contributions. Universities and research</w:t>
      </w:r>
      <w:r w:rsidR="00A81109">
        <w:t>ers</w:t>
      </w:r>
      <w:r w:rsidRPr="004A426E">
        <w:t xml:space="preserve"> that have not previously received funding from RWM are particularly encouraged to apply. The contractual arrangements for the PhD studentships will be administered by RWM.</w:t>
      </w:r>
    </w:p>
    <w:p w14:paraId="5DE1B8A8" w14:textId="77777777" w:rsidR="006E58DA" w:rsidRPr="004A426E" w:rsidRDefault="006E58DA" w:rsidP="00EF4DA9">
      <w:pPr>
        <w:pStyle w:val="NoSpacing"/>
      </w:pPr>
    </w:p>
    <w:p w14:paraId="1D8C07FB" w14:textId="77777777" w:rsidR="00EF4DA9" w:rsidRPr="004A426E" w:rsidRDefault="00EF4DA9" w:rsidP="00EF4DA9">
      <w:pPr>
        <w:pStyle w:val="NoSpacing"/>
      </w:pPr>
    </w:p>
    <w:p w14:paraId="69A5EDF7" w14:textId="57601ED7" w:rsidR="00EF4DA9" w:rsidRPr="004A426E" w:rsidRDefault="00EF4DA9" w:rsidP="00EF4DA9">
      <w:pPr>
        <w:pStyle w:val="Heading1"/>
        <w:rPr>
          <w:rFonts w:eastAsiaTheme="minorHAnsi"/>
        </w:rPr>
      </w:pPr>
      <w:r w:rsidRPr="004A426E">
        <w:rPr>
          <w:rFonts w:eastAsiaTheme="minorHAnsi"/>
        </w:rPr>
        <w:t>Call structure</w:t>
      </w:r>
    </w:p>
    <w:p w14:paraId="40811B12" w14:textId="77777777" w:rsidR="004A426E" w:rsidRPr="004A426E" w:rsidRDefault="004A426E" w:rsidP="006E58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426E" w:rsidRPr="004A426E" w14:paraId="054FB3B4" w14:textId="77777777" w:rsidTr="004A426E">
        <w:tc>
          <w:tcPr>
            <w:tcW w:w="4508" w:type="dxa"/>
          </w:tcPr>
          <w:p w14:paraId="78A595B3" w14:textId="5DEE2739" w:rsidR="004A426E" w:rsidRPr="00382B84" w:rsidRDefault="004A426E" w:rsidP="006E58DA">
            <w:pPr>
              <w:pStyle w:val="NoSpacing"/>
              <w:rPr>
                <w:b/>
              </w:rPr>
            </w:pPr>
            <w:r w:rsidRPr="00382B84">
              <w:rPr>
                <w:b/>
              </w:rPr>
              <w:t>Request for proposal sent on:</w:t>
            </w:r>
          </w:p>
        </w:tc>
        <w:tc>
          <w:tcPr>
            <w:tcW w:w="4508" w:type="dxa"/>
          </w:tcPr>
          <w:p w14:paraId="036CF06A" w14:textId="4E3AFDE7" w:rsidR="004A426E" w:rsidRPr="00382B84" w:rsidRDefault="00C55BC6" w:rsidP="006E58DA">
            <w:pPr>
              <w:pStyle w:val="NoSpacing"/>
              <w:rPr>
                <w:b/>
              </w:rPr>
            </w:pPr>
            <w:r w:rsidRPr="00382B84">
              <w:rPr>
                <w:b/>
              </w:rPr>
              <w:t>13</w:t>
            </w:r>
            <w:r w:rsidRPr="00382B84">
              <w:rPr>
                <w:b/>
                <w:vertAlign w:val="superscript"/>
              </w:rPr>
              <w:t>th</w:t>
            </w:r>
            <w:r w:rsidRPr="00382B84">
              <w:rPr>
                <w:b/>
              </w:rPr>
              <w:t xml:space="preserve"> April</w:t>
            </w:r>
            <w:r w:rsidR="0096183D" w:rsidRPr="00382B84">
              <w:rPr>
                <w:b/>
              </w:rPr>
              <w:t xml:space="preserve"> </w:t>
            </w:r>
            <w:r w:rsidR="004A426E" w:rsidRPr="00382B84">
              <w:rPr>
                <w:b/>
              </w:rPr>
              <w:t>2021</w:t>
            </w:r>
          </w:p>
        </w:tc>
      </w:tr>
      <w:tr w:rsidR="004A426E" w:rsidRPr="004A426E" w14:paraId="1D60880D" w14:textId="77777777" w:rsidTr="004A426E">
        <w:tc>
          <w:tcPr>
            <w:tcW w:w="4508" w:type="dxa"/>
          </w:tcPr>
          <w:p w14:paraId="5DADC5C6" w14:textId="1C09A72F" w:rsidR="004A426E" w:rsidRPr="00382B84" w:rsidRDefault="004A426E" w:rsidP="006E58DA">
            <w:pPr>
              <w:pStyle w:val="NoSpacing"/>
              <w:rPr>
                <w:b/>
              </w:rPr>
            </w:pPr>
            <w:r w:rsidRPr="00382B84">
              <w:rPr>
                <w:b/>
              </w:rPr>
              <w:t>Clarifications period closes on:</w:t>
            </w:r>
          </w:p>
        </w:tc>
        <w:tc>
          <w:tcPr>
            <w:tcW w:w="4508" w:type="dxa"/>
          </w:tcPr>
          <w:p w14:paraId="6E891E69" w14:textId="24BBAF98" w:rsidR="004A426E" w:rsidRPr="00382B84" w:rsidRDefault="00382B84" w:rsidP="00382B84">
            <w:pPr>
              <w:pStyle w:val="NoSpacing"/>
              <w:rPr>
                <w:b/>
              </w:rPr>
            </w:pPr>
            <w:r w:rsidRPr="00382B84">
              <w:rPr>
                <w:b/>
              </w:rPr>
              <w:t>14</w:t>
            </w:r>
            <w:r w:rsidR="00C55BC6" w:rsidRPr="00382B84">
              <w:rPr>
                <w:b/>
                <w:vertAlign w:val="superscript"/>
              </w:rPr>
              <w:t>th</w:t>
            </w:r>
            <w:r w:rsidR="00C55BC6" w:rsidRPr="00382B84">
              <w:rPr>
                <w:b/>
              </w:rPr>
              <w:t xml:space="preserve"> </w:t>
            </w:r>
            <w:r w:rsidRPr="00382B84">
              <w:rPr>
                <w:b/>
              </w:rPr>
              <w:t>May</w:t>
            </w:r>
            <w:r w:rsidR="004A426E" w:rsidRPr="00382B84">
              <w:rPr>
                <w:b/>
              </w:rPr>
              <w:t xml:space="preserve"> 2021</w:t>
            </w:r>
          </w:p>
        </w:tc>
      </w:tr>
      <w:tr w:rsidR="004A426E" w:rsidRPr="004A426E" w14:paraId="5D9EF82A" w14:textId="77777777" w:rsidTr="004A426E">
        <w:tc>
          <w:tcPr>
            <w:tcW w:w="4508" w:type="dxa"/>
          </w:tcPr>
          <w:p w14:paraId="1B500F66" w14:textId="333B09A0" w:rsidR="004A426E" w:rsidRPr="00382B84" w:rsidRDefault="004A426E" w:rsidP="006E58DA">
            <w:pPr>
              <w:pStyle w:val="NoSpacing"/>
              <w:rPr>
                <w:b/>
              </w:rPr>
            </w:pPr>
            <w:r w:rsidRPr="00382B84">
              <w:rPr>
                <w:b/>
              </w:rPr>
              <w:t>Request for proposal closes on:</w:t>
            </w:r>
          </w:p>
        </w:tc>
        <w:tc>
          <w:tcPr>
            <w:tcW w:w="4508" w:type="dxa"/>
          </w:tcPr>
          <w:p w14:paraId="696B8A21" w14:textId="3314A3AB" w:rsidR="004A426E" w:rsidRPr="00382B84" w:rsidRDefault="00382B84" w:rsidP="006E58DA">
            <w:pPr>
              <w:pStyle w:val="NoSpacing"/>
              <w:rPr>
                <w:b/>
              </w:rPr>
            </w:pPr>
            <w:r w:rsidRPr="00382B84">
              <w:rPr>
                <w:b/>
              </w:rPr>
              <w:t>1</w:t>
            </w:r>
            <w:r w:rsidRPr="00382B84">
              <w:rPr>
                <w:b/>
                <w:vertAlign w:val="superscript"/>
              </w:rPr>
              <w:t>st</w:t>
            </w:r>
            <w:r w:rsidRPr="00382B84">
              <w:rPr>
                <w:b/>
              </w:rPr>
              <w:t xml:space="preserve"> June</w:t>
            </w:r>
            <w:r w:rsidR="00130DA1" w:rsidRPr="00382B84">
              <w:rPr>
                <w:b/>
              </w:rPr>
              <w:t xml:space="preserve"> </w:t>
            </w:r>
            <w:r w:rsidR="004A426E" w:rsidRPr="00382B84">
              <w:rPr>
                <w:b/>
              </w:rPr>
              <w:t>2021</w:t>
            </w:r>
          </w:p>
        </w:tc>
      </w:tr>
    </w:tbl>
    <w:p w14:paraId="56FC4AC2" w14:textId="77777777" w:rsidR="004A426E" w:rsidRPr="004A426E" w:rsidRDefault="004A426E" w:rsidP="006E58DA">
      <w:pPr>
        <w:pStyle w:val="NoSpacing"/>
      </w:pPr>
    </w:p>
    <w:p w14:paraId="724B64FC" w14:textId="5110DA7A" w:rsidR="006E58DA" w:rsidRDefault="006E58DA" w:rsidP="006E58DA">
      <w:pPr>
        <w:pStyle w:val="NoSpacing"/>
      </w:pPr>
      <w:r w:rsidRPr="004A426E">
        <w:t>A</w:t>
      </w:r>
      <w:r w:rsidR="00036F07" w:rsidRPr="004A426E">
        <w:t>ll clarification questions (</w:t>
      </w:r>
      <w:r w:rsidR="004647D5">
        <w:t xml:space="preserve">including commercial, technical, </w:t>
      </w:r>
      <w:r w:rsidR="00036F07" w:rsidRPr="004A426E">
        <w:t>terms and conditions</w:t>
      </w:r>
      <w:r w:rsidR="004647D5">
        <w:t>, and requests for flexibility in the deadline</w:t>
      </w:r>
      <w:r w:rsidR="00036F07" w:rsidRPr="004A426E">
        <w:t>)</w:t>
      </w:r>
      <w:r w:rsidRPr="004A426E">
        <w:t xml:space="preserve"> should be </w:t>
      </w:r>
      <w:r w:rsidR="004A426E" w:rsidRPr="004A426E">
        <w:t xml:space="preserve">sent before the </w:t>
      </w:r>
      <w:r w:rsidR="004A426E" w:rsidRPr="00A81109">
        <w:rPr>
          <w:b/>
        </w:rPr>
        <w:t>clarification period</w:t>
      </w:r>
      <w:r w:rsidR="004A426E" w:rsidRPr="004A426E">
        <w:t xml:space="preserve"> is closed </w:t>
      </w:r>
      <w:r w:rsidR="009C3816">
        <w:t xml:space="preserve">on </w:t>
      </w:r>
      <w:r w:rsidR="009C3816" w:rsidRPr="009C3816">
        <w:rPr>
          <w:b/>
          <w:highlight w:val="yellow"/>
        </w:rPr>
        <w:t>Friday 14</w:t>
      </w:r>
      <w:r w:rsidR="009C3816" w:rsidRPr="009C3816">
        <w:rPr>
          <w:b/>
          <w:highlight w:val="yellow"/>
          <w:vertAlign w:val="superscript"/>
        </w:rPr>
        <w:t>th</w:t>
      </w:r>
      <w:r w:rsidR="009C3816" w:rsidRPr="009C3816">
        <w:rPr>
          <w:b/>
          <w:highlight w:val="yellow"/>
        </w:rPr>
        <w:t xml:space="preserve"> May</w:t>
      </w:r>
      <w:r w:rsidR="009C3816">
        <w:t xml:space="preserve"> </w:t>
      </w:r>
      <w:r w:rsidR="004A426E" w:rsidRPr="004A426E">
        <w:t xml:space="preserve">and </w:t>
      </w:r>
      <w:r w:rsidRPr="004A426E">
        <w:t>addr</w:t>
      </w:r>
      <w:bookmarkStart w:id="0" w:name="_GoBack"/>
      <w:bookmarkEnd w:id="0"/>
      <w:r w:rsidRPr="004A426E">
        <w:t xml:space="preserve">essed to the RSO via </w:t>
      </w:r>
      <w:hyperlink r:id="rId9" w:history="1">
        <w:r w:rsidRPr="004A426E">
          <w:rPr>
            <w:rStyle w:val="Hyperlink"/>
          </w:rPr>
          <w:t>rso-gdf@manchester.ac.uk</w:t>
        </w:r>
      </w:hyperlink>
      <w:r w:rsidRPr="004A426E">
        <w:t xml:space="preserve">. </w:t>
      </w:r>
    </w:p>
    <w:p w14:paraId="45619078" w14:textId="4AF02BF4" w:rsidR="004F0365" w:rsidRDefault="004F0365" w:rsidP="006E58DA">
      <w:pPr>
        <w:pStyle w:val="NoSpacing"/>
      </w:pPr>
    </w:p>
    <w:p w14:paraId="730D77C5" w14:textId="77777777" w:rsidR="00C55BC6" w:rsidRPr="00832866" w:rsidRDefault="00C55BC6" w:rsidP="00C55BC6">
      <w:pPr>
        <w:pStyle w:val="NoSpacing"/>
      </w:pPr>
      <w:r w:rsidRPr="00832866">
        <w:rPr>
          <w:u w:val="single"/>
        </w:rPr>
        <w:t>Any clarification questions or proposed changes to the scope of the project and/or grant agreement terms will only be considered during the Clarification period stated above and will not be accepted after proposal submission.</w:t>
      </w:r>
    </w:p>
    <w:p w14:paraId="516E0398" w14:textId="77777777" w:rsidR="006E58DA" w:rsidRPr="004A426E" w:rsidRDefault="006E58DA" w:rsidP="006E58DA">
      <w:pPr>
        <w:pStyle w:val="NoSpacing"/>
      </w:pPr>
    </w:p>
    <w:p w14:paraId="68313423" w14:textId="42A1ED0B" w:rsidR="00EF4DA9" w:rsidRPr="004A426E" w:rsidRDefault="006E58DA" w:rsidP="006E58DA">
      <w:pPr>
        <w:pStyle w:val="NoSpacing"/>
      </w:pPr>
      <w:r w:rsidRPr="004A426E">
        <w:t xml:space="preserve">Proposals will be accepted </w:t>
      </w:r>
      <w:r w:rsidR="00781856">
        <w:t xml:space="preserve">until </w:t>
      </w:r>
      <w:r w:rsidR="00781856" w:rsidRPr="00382B84">
        <w:rPr>
          <w:b/>
          <w:highlight w:val="yellow"/>
        </w:rPr>
        <w:t xml:space="preserve">12:00 on </w:t>
      </w:r>
      <w:r w:rsidR="00382B84" w:rsidRPr="00382B84">
        <w:rPr>
          <w:b/>
          <w:highlight w:val="yellow"/>
        </w:rPr>
        <w:t>Tuesday 1</w:t>
      </w:r>
      <w:r w:rsidR="00382B84" w:rsidRPr="00382B84">
        <w:rPr>
          <w:b/>
          <w:highlight w:val="yellow"/>
          <w:vertAlign w:val="superscript"/>
        </w:rPr>
        <w:t>st</w:t>
      </w:r>
      <w:r w:rsidR="00382B84" w:rsidRPr="00382B84">
        <w:rPr>
          <w:b/>
          <w:highlight w:val="yellow"/>
        </w:rPr>
        <w:t xml:space="preserve"> June</w:t>
      </w:r>
      <w:r w:rsidR="00781856" w:rsidRPr="00382B84">
        <w:rPr>
          <w:b/>
          <w:highlight w:val="yellow"/>
        </w:rPr>
        <w:t xml:space="preserve"> 2021</w:t>
      </w:r>
      <w:r w:rsidR="00781856" w:rsidRPr="00D63BA3">
        <w:t xml:space="preserve"> </w:t>
      </w:r>
      <w:r w:rsidRPr="00D63BA3">
        <w:t>as</w:t>
      </w:r>
      <w:r w:rsidRPr="004A426E">
        <w:t xml:space="preserve"> </w:t>
      </w:r>
      <w:r w:rsidR="00A21B51" w:rsidRPr="004A426E">
        <w:t>W</w:t>
      </w:r>
      <w:r w:rsidRPr="004A426E">
        <w:t xml:space="preserve">ord documents and supporting materials emailed to the RSO inbox: rso-gdf@manchester.ac.uk. Applications will be assessed by a panel led by RWM. </w:t>
      </w:r>
    </w:p>
    <w:p w14:paraId="41BA640E" w14:textId="77777777" w:rsidR="006E58DA" w:rsidRPr="004A426E" w:rsidRDefault="006E58DA">
      <w:pPr>
        <w:rPr>
          <w:rFonts w:ascii="Arial" w:eastAsia="Times New Roman" w:hAnsi="Arial" w:cs="Arial"/>
          <w:b/>
          <w:sz w:val="24"/>
        </w:rPr>
      </w:pPr>
      <w:r w:rsidRPr="004A426E">
        <w:rPr>
          <w:rFonts w:ascii="Arial" w:hAnsi="Arial" w:cs="Arial"/>
        </w:rPr>
        <w:br w:type="page"/>
      </w:r>
    </w:p>
    <w:p w14:paraId="40F3834A" w14:textId="0A9327FD" w:rsidR="00EF4DA9" w:rsidRPr="004A426E" w:rsidRDefault="00EF4DA9" w:rsidP="00EF4DA9">
      <w:pPr>
        <w:pStyle w:val="Heading1"/>
      </w:pPr>
      <w:r w:rsidRPr="004A426E">
        <w:lastRenderedPageBreak/>
        <w:t xml:space="preserve">Research </w:t>
      </w:r>
      <w:r w:rsidR="0096183D">
        <w:t>brief</w:t>
      </w:r>
    </w:p>
    <w:p w14:paraId="12122C61" w14:textId="6D3B4AA2" w:rsidR="00EF4DA9" w:rsidRPr="004A426E" w:rsidRDefault="00EF4DA9" w:rsidP="00EF4DA9">
      <w:pPr>
        <w:pStyle w:val="NoSpacing"/>
      </w:pPr>
    </w:p>
    <w:p w14:paraId="7F7A7145" w14:textId="77777777" w:rsidR="0096183D" w:rsidRPr="0096183D" w:rsidRDefault="0096183D" w:rsidP="0096183D">
      <w:pPr>
        <w:pStyle w:val="NoSpacing"/>
        <w:jc w:val="center"/>
        <w:rPr>
          <w:b/>
        </w:rPr>
      </w:pPr>
      <w:r w:rsidRPr="0096183D">
        <w:rPr>
          <w:b/>
        </w:rPr>
        <w:t>Understanding the Long-Term Behaviour of Alternative Backfill for DNLEU Disposal</w:t>
      </w:r>
    </w:p>
    <w:p w14:paraId="17587296" w14:textId="77777777" w:rsidR="0096183D" w:rsidRDefault="0096183D" w:rsidP="0096183D">
      <w:pPr>
        <w:pStyle w:val="NoSpacing"/>
      </w:pPr>
    </w:p>
    <w:p w14:paraId="5EBB9155" w14:textId="6D782536" w:rsidR="0096183D" w:rsidRPr="0096183D" w:rsidRDefault="0096183D" w:rsidP="0096183D">
      <w:pPr>
        <w:pStyle w:val="Heading3"/>
      </w:pPr>
      <w:r w:rsidRPr="0096183D">
        <w:t xml:space="preserve">Introduction </w:t>
      </w:r>
    </w:p>
    <w:p w14:paraId="5CC35600" w14:textId="77777777" w:rsidR="0096183D" w:rsidRDefault="0096183D" w:rsidP="0096183D">
      <w:pPr>
        <w:pStyle w:val="NoSpacing"/>
      </w:pPr>
    </w:p>
    <w:p w14:paraId="4CC71BF6" w14:textId="77777777" w:rsidR="0096183D" w:rsidRDefault="0096183D" w:rsidP="0096183D">
      <w:pPr>
        <w:pStyle w:val="NoSpacing"/>
      </w:pPr>
      <w:r>
        <w:t>Depleted, natural and low-enriched uranium (DNLEU) is classed as Low Heat Generating Waste (LHGW) in the UK. Thirteen percent of the UK ‘Baseline Inventory’ destined for geological disposal contains DNLEU (271,968 tonnes) [1]. Since the radioactivity and toxicity of DNLEU increases over time (in contrast with the radioactivity of other inventory wastes), there is a need to understand the long-term behaviour of any engineered barrier system developed to contain it.</w:t>
      </w:r>
    </w:p>
    <w:p w14:paraId="0D887DAB" w14:textId="77777777" w:rsidR="0096183D" w:rsidRDefault="0096183D" w:rsidP="0096183D">
      <w:pPr>
        <w:pStyle w:val="NoSpacing"/>
      </w:pPr>
    </w:p>
    <w:p w14:paraId="4849BFAB" w14:textId="0D94E87A" w:rsidR="0096183D" w:rsidRDefault="0096183D" w:rsidP="0096183D">
      <w:pPr>
        <w:pStyle w:val="NoSpacing"/>
      </w:pPr>
      <w:r>
        <w:t>Recent work has highlighted that phosphate-based cements are promising candidate</w:t>
      </w:r>
      <w:r w:rsidR="00A81109">
        <w:t>s</w:t>
      </w:r>
      <w:r>
        <w:t xml:space="preserve"> for DNLEU container backfill since they could promote the formation of highly insoluble </w:t>
      </w:r>
      <w:proofErr w:type="spellStart"/>
      <w:r>
        <w:t>uranophosphate</w:t>
      </w:r>
      <w:proofErr w:type="spellEnd"/>
      <w:r>
        <w:t xml:space="preserve"> compounds </w:t>
      </w:r>
      <w:r w:rsidR="00A81109">
        <w:t xml:space="preserve">intended to </w:t>
      </w:r>
      <w:r>
        <w:t>limit migration of uranium through the near-field [2</w:t>
      </w:r>
      <w:proofErr w:type="gramStart"/>
      <w:r>
        <w:t>,3</w:t>
      </w:r>
      <w:proofErr w:type="gramEnd"/>
      <w:r>
        <w:t>]. Investigation of phosphate-based cement is also recommended as an outcome of RWM’s Uranium IPT report [4] and is highlighted in the 2020 Science and Technology plan (Task B3.1.2) [5] as an option for post-closure management of DNLEU. An ongoing disposability consideration, the proposed approach</w:t>
      </w:r>
      <w:r w:rsidR="00A81109">
        <w:t xml:space="preserve"> utilising phosphate based cements</w:t>
      </w:r>
      <w:r>
        <w:t xml:space="preserve"> could deliver a significant cost and hazard reduction though removing the need for uranium treatment.</w:t>
      </w:r>
    </w:p>
    <w:p w14:paraId="504AE5F3" w14:textId="77777777" w:rsidR="0096183D" w:rsidRDefault="0096183D" w:rsidP="0096183D">
      <w:pPr>
        <w:pStyle w:val="NoSpacing"/>
      </w:pPr>
    </w:p>
    <w:p w14:paraId="5658C01D" w14:textId="77777777" w:rsidR="004647D5" w:rsidRDefault="004647D5" w:rsidP="0096183D">
      <w:pPr>
        <w:pStyle w:val="Heading3"/>
      </w:pPr>
    </w:p>
    <w:p w14:paraId="00494AE8" w14:textId="76F955AD" w:rsidR="0096183D" w:rsidRDefault="0096183D" w:rsidP="0096183D">
      <w:pPr>
        <w:pStyle w:val="Heading3"/>
      </w:pPr>
      <w:r>
        <w:t>Scope</w:t>
      </w:r>
    </w:p>
    <w:p w14:paraId="16CB54BD" w14:textId="77777777" w:rsidR="0096183D" w:rsidRDefault="0096183D" w:rsidP="0096183D">
      <w:pPr>
        <w:pStyle w:val="NoSpacing"/>
      </w:pPr>
    </w:p>
    <w:p w14:paraId="117EA1D1" w14:textId="7983217F" w:rsidR="0096183D" w:rsidRDefault="00A81109" w:rsidP="0096183D">
      <w:pPr>
        <w:pStyle w:val="NoSpacing"/>
      </w:pPr>
      <w:r>
        <w:t xml:space="preserve">The </w:t>
      </w:r>
      <w:r w:rsidR="0096183D">
        <w:t xml:space="preserve">RWM </w:t>
      </w:r>
      <w:r>
        <w:t xml:space="preserve">RSO </w:t>
      </w:r>
      <w:r w:rsidR="0096183D">
        <w:t xml:space="preserve">invites proposals that will help </w:t>
      </w:r>
      <w:r>
        <w:t xml:space="preserve">RWM </w:t>
      </w:r>
      <w:r w:rsidR="0096183D">
        <w:t xml:space="preserve">improve </w:t>
      </w:r>
      <w:r>
        <w:t xml:space="preserve">its </w:t>
      </w:r>
      <w:r w:rsidR="0096183D">
        <w:t>understanding of</w:t>
      </w:r>
      <w:r>
        <w:t>: (</w:t>
      </w:r>
      <w:proofErr w:type="spellStart"/>
      <w:r>
        <w:t>i</w:t>
      </w:r>
      <w:proofErr w:type="spellEnd"/>
      <w:r>
        <w:t>)</w:t>
      </w:r>
      <w:r w:rsidR="0096183D">
        <w:t xml:space="preserve"> the long-term evolution of phosphate cement materials within repository environments and </w:t>
      </w:r>
      <w:r>
        <w:t xml:space="preserve">(ii) </w:t>
      </w:r>
      <w:r w:rsidR="0096183D">
        <w:t>to further understand the behaviour of uranium and its daughters in phosphate-rich environments. Specific areas of interest include, but are not limited to:</w:t>
      </w:r>
    </w:p>
    <w:p w14:paraId="421297E3" w14:textId="77777777" w:rsidR="0096183D" w:rsidRDefault="0096183D" w:rsidP="0096183D">
      <w:pPr>
        <w:pStyle w:val="NoSpacing"/>
      </w:pPr>
    </w:p>
    <w:p w14:paraId="33DB16EA" w14:textId="2F5E6714" w:rsidR="0096183D" w:rsidRDefault="0096183D" w:rsidP="0096183D">
      <w:pPr>
        <w:pStyle w:val="NoSpacing"/>
        <w:numPr>
          <w:ilvl w:val="0"/>
          <w:numId w:val="17"/>
        </w:numPr>
      </w:pPr>
      <w:r>
        <w:t xml:space="preserve">Degradation of phosphate-based cements by groundwater. </w:t>
      </w:r>
    </w:p>
    <w:p w14:paraId="770ACDB8" w14:textId="22B1E8F0" w:rsidR="0096183D" w:rsidRDefault="0096183D" w:rsidP="0096183D">
      <w:pPr>
        <w:pStyle w:val="NoSpacing"/>
        <w:numPr>
          <w:ilvl w:val="1"/>
          <w:numId w:val="17"/>
        </w:numPr>
      </w:pPr>
      <w:r>
        <w:t xml:space="preserve">Interactions and degradation of </w:t>
      </w:r>
      <w:r w:rsidR="00A81109">
        <w:t xml:space="preserve">phosphate based </w:t>
      </w:r>
      <w:r>
        <w:t xml:space="preserve">cement by soluble sulphates and chloride ions from the groundwater. </w:t>
      </w:r>
    </w:p>
    <w:p w14:paraId="74830D51" w14:textId="3370ECFD" w:rsidR="0096183D" w:rsidRDefault="0096183D" w:rsidP="0096183D">
      <w:pPr>
        <w:pStyle w:val="NoSpacing"/>
        <w:numPr>
          <w:ilvl w:val="1"/>
          <w:numId w:val="17"/>
        </w:numPr>
      </w:pPr>
      <w:r>
        <w:t xml:space="preserve">Hydrothermally aging </w:t>
      </w:r>
      <w:r w:rsidR="00A81109">
        <w:t xml:space="preserve">studies </w:t>
      </w:r>
      <w:r>
        <w:t xml:space="preserve">of phosphate-based cements. </w:t>
      </w:r>
    </w:p>
    <w:p w14:paraId="62A2D7D5" w14:textId="36A90796" w:rsidR="0096183D" w:rsidRDefault="0096183D" w:rsidP="00A81109">
      <w:pPr>
        <w:pStyle w:val="NoSpacing"/>
        <w:numPr>
          <w:ilvl w:val="1"/>
          <w:numId w:val="17"/>
        </w:numPr>
      </w:pPr>
      <w:r>
        <w:t xml:space="preserve">Interface processes between cement-based materials, </w:t>
      </w:r>
      <w:r w:rsidR="00A81109">
        <w:t xml:space="preserve">representative </w:t>
      </w:r>
      <w:r>
        <w:t>host rocks (</w:t>
      </w:r>
      <w:r w:rsidR="00A81109">
        <w:t>including Lower Strength Sedimentary Rocks (</w:t>
      </w:r>
      <w:r>
        <w:t>LSSR)</w:t>
      </w:r>
      <w:r w:rsidR="00A81109">
        <w:t>)</w:t>
      </w:r>
      <w:r>
        <w:t xml:space="preserve"> and the effect on the physical transport properties</w:t>
      </w:r>
    </w:p>
    <w:p w14:paraId="1C3EE684" w14:textId="77777777" w:rsidR="0096183D" w:rsidRDefault="0096183D" w:rsidP="0096183D">
      <w:pPr>
        <w:pStyle w:val="NoSpacing"/>
      </w:pPr>
    </w:p>
    <w:p w14:paraId="341E0B27" w14:textId="14179B78" w:rsidR="0096183D" w:rsidRDefault="0096183D" w:rsidP="0096183D">
      <w:pPr>
        <w:pStyle w:val="NoSpacing"/>
        <w:numPr>
          <w:ilvl w:val="0"/>
          <w:numId w:val="17"/>
        </w:numPr>
      </w:pPr>
      <w:r>
        <w:t>Behaviour of uranium oxides in phosphate-saturated cement leachates</w:t>
      </w:r>
    </w:p>
    <w:p w14:paraId="05C5ADBB" w14:textId="25E875EA" w:rsidR="0096183D" w:rsidRDefault="0096183D" w:rsidP="0096183D">
      <w:pPr>
        <w:pStyle w:val="NoSpacing"/>
        <w:numPr>
          <w:ilvl w:val="1"/>
          <w:numId w:val="17"/>
        </w:numPr>
      </w:pPr>
      <w:r>
        <w:t>Including analysis of variant DNLEU source term (e.g. UO</w:t>
      </w:r>
      <w:r w:rsidRPr="00270225">
        <w:rPr>
          <w:vertAlign w:val="subscript"/>
        </w:rPr>
        <w:t>2</w:t>
      </w:r>
      <w:r>
        <w:t>, UO</w:t>
      </w:r>
      <w:r w:rsidRPr="00270225">
        <w:rPr>
          <w:vertAlign w:val="subscript"/>
        </w:rPr>
        <w:t>3</w:t>
      </w:r>
      <w:r>
        <w:t xml:space="preserve">) on U </w:t>
      </w:r>
      <w:proofErr w:type="gramStart"/>
      <w:r>
        <w:t>behaviour</w:t>
      </w:r>
      <w:proofErr w:type="gramEnd"/>
      <w:r>
        <w:t xml:space="preserve"> in these systems under representative </w:t>
      </w:r>
      <w:proofErr w:type="spellStart"/>
      <w:r>
        <w:t>resaturation</w:t>
      </w:r>
      <w:proofErr w:type="spellEnd"/>
      <w:r>
        <w:t xml:space="preserve"> conditions.</w:t>
      </w:r>
    </w:p>
    <w:p w14:paraId="0BA68F6A" w14:textId="29A79FA9" w:rsidR="0096183D" w:rsidRDefault="0096183D" w:rsidP="0096183D">
      <w:pPr>
        <w:pStyle w:val="NoSpacing"/>
        <w:numPr>
          <w:ilvl w:val="1"/>
          <w:numId w:val="17"/>
        </w:numPr>
      </w:pPr>
      <w:r>
        <w:t xml:space="preserve">Analysis of the longevity </w:t>
      </w:r>
      <w:r w:rsidR="00A81109">
        <w:t xml:space="preserve">and stability </w:t>
      </w:r>
      <w:r>
        <w:t>of U-phosphate minerals under post-closure conditions.</w:t>
      </w:r>
    </w:p>
    <w:p w14:paraId="0FD89CFE" w14:textId="77777777" w:rsidR="0096183D" w:rsidRDefault="0096183D" w:rsidP="0096183D">
      <w:pPr>
        <w:pStyle w:val="NoSpacing"/>
      </w:pPr>
    </w:p>
    <w:p w14:paraId="040B7AB1" w14:textId="364288BA" w:rsidR="0096183D" w:rsidRDefault="0096183D" w:rsidP="0096183D">
      <w:pPr>
        <w:pStyle w:val="NoSpacing"/>
        <w:numPr>
          <w:ilvl w:val="0"/>
          <w:numId w:val="17"/>
        </w:numPr>
      </w:pPr>
      <w:r>
        <w:t>Sorption to and / or transport of uranium and daughters through variably aged, phosphate-bearing cements</w:t>
      </w:r>
    </w:p>
    <w:p w14:paraId="476E978A" w14:textId="77777777" w:rsidR="0096183D" w:rsidRDefault="0096183D" w:rsidP="0096183D">
      <w:pPr>
        <w:pStyle w:val="NoSpacing"/>
      </w:pPr>
    </w:p>
    <w:p w14:paraId="78B86EA8" w14:textId="60E85C6D" w:rsidR="0096183D" w:rsidRDefault="0096183D" w:rsidP="0096183D">
      <w:pPr>
        <w:pStyle w:val="NoSpacing"/>
        <w:numPr>
          <w:ilvl w:val="0"/>
          <w:numId w:val="17"/>
        </w:numPr>
      </w:pPr>
      <w:r>
        <w:t xml:space="preserve">Geochemical modelling in fulfilment of the above </w:t>
      </w:r>
    </w:p>
    <w:p w14:paraId="567A27F4" w14:textId="77777777" w:rsidR="0096183D" w:rsidRDefault="0096183D" w:rsidP="0096183D">
      <w:pPr>
        <w:pStyle w:val="NoSpacing"/>
      </w:pPr>
    </w:p>
    <w:p w14:paraId="275B9E79" w14:textId="77777777" w:rsidR="0096183D" w:rsidRDefault="0096183D" w:rsidP="0096183D">
      <w:pPr>
        <w:pStyle w:val="NoSpacing"/>
      </w:pPr>
      <w:r>
        <w:t xml:space="preserve">This project could span multiple studentships, thus we invite proposals that may only fulfil partial scope. For example, the project could be split between the uranium chemistry (i.e. </w:t>
      </w:r>
      <w:r>
        <w:lastRenderedPageBreak/>
        <w:t xml:space="preserve">solubility, speciation and sorption of wastes and reaction products) and the cement evolution (chemical and physical alteration, microstructural change and transport dynamics). </w:t>
      </w:r>
    </w:p>
    <w:p w14:paraId="00DB51D7" w14:textId="77777777" w:rsidR="0096183D" w:rsidRDefault="0096183D" w:rsidP="0096183D">
      <w:pPr>
        <w:pStyle w:val="NoSpacing"/>
      </w:pPr>
    </w:p>
    <w:p w14:paraId="2B82D4F0" w14:textId="2F6FE040" w:rsidR="0096183D" w:rsidRDefault="0096183D" w:rsidP="0096183D">
      <w:pPr>
        <w:pStyle w:val="Heading3"/>
      </w:pPr>
      <w:r>
        <w:t>References</w:t>
      </w:r>
    </w:p>
    <w:p w14:paraId="552FB4BB" w14:textId="77777777" w:rsidR="0096183D" w:rsidRDefault="0096183D" w:rsidP="0096183D">
      <w:pPr>
        <w:pStyle w:val="NoSpacing"/>
      </w:pPr>
    </w:p>
    <w:p w14:paraId="223556F5" w14:textId="77777777" w:rsidR="0096183D" w:rsidRDefault="0096183D" w:rsidP="0096183D">
      <w:pPr>
        <w:pStyle w:val="NoSpacing"/>
      </w:pPr>
      <w:r>
        <w:t>[1] RWM (2016) Inventory for geological disposal</w:t>
      </w:r>
    </w:p>
    <w:p w14:paraId="7355B37E" w14:textId="77777777" w:rsidR="0096183D" w:rsidRDefault="0096183D" w:rsidP="0096183D">
      <w:pPr>
        <w:pStyle w:val="NoSpacing"/>
      </w:pPr>
      <w:r>
        <w:t xml:space="preserve">[2] W. J. Montague (2014) “The Suitability of Magnesium Phosphate Cement for Uranium Metal Encapsulation”-PhD thesis. Imperial college </w:t>
      </w:r>
    </w:p>
    <w:p w14:paraId="39D3D558" w14:textId="77777777" w:rsidR="0096183D" w:rsidRDefault="0096183D" w:rsidP="0096183D">
      <w:pPr>
        <w:pStyle w:val="NoSpacing"/>
      </w:pPr>
      <w:r>
        <w:t xml:space="preserve">[3] A. </w:t>
      </w:r>
      <w:proofErr w:type="spellStart"/>
      <w:r>
        <w:t>Covill</w:t>
      </w:r>
      <w:proofErr w:type="spellEnd"/>
      <w:r>
        <w:t>, N. C. Hyatt, J. Hill &amp; N. C. Collier (2013) “Development of magnesium phosphate cements for encapsulation of radioactive waste” Advances in Applied Ceramics, 110:3, 151-156.</w:t>
      </w:r>
    </w:p>
    <w:p w14:paraId="0EAC7274" w14:textId="77777777" w:rsidR="0096183D" w:rsidRDefault="0096183D" w:rsidP="0096183D">
      <w:pPr>
        <w:pStyle w:val="NoSpacing"/>
      </w:pPr>
      <w:r>
        <w:t>[4] RWM/NDA (2016) Geological Disposal- Investigating the Implications of Managing Depleted, Natural and Low Enriched Uranium through Geological Disposal.</w:t>
      </w:r>
    </w:p>
    <w:p w14:paraId="08AF8BAF" w14:textId="77777777" w:rsidR="0096183D" w:rsidRDefault="0096183D" w:rsidP="0096183D">
      <w:pPr>
        <w:pStyle w:val="NoSpacing"/>
      </w:pPr>
      <w:r>
        <w:t>[5] RWM, Geological Disposal: Science and Technology Plan, 2020</w:t>
      </w:r>
    </w:p>
    <w:p w14:paraId="770BD897" w14:textId="6E2E165B" w:rsidR="004A426E" w:rsidRPr="004A426E" w:rsidRDefault="0096183D" w:rsidP="0096183D">
      <w:pPr>
        <w:pStyle w:val="NoSpacing"/>
      </w:pPr>
      <w:r>
        <w:t>[6] M.J Rigali, P.V. Brady and R.C. Moore (2016) “Radionuclide removal by apatite” American Mineralogist. 101:12</w:t>
      </w:r>
      <w:r w:rsidR="004A426E" w:rsidRPr="004A426E">
        <w:t xml:space="preserve"> </w:t>
      </w:r>
    </w:p>
    <w:p w14:paraId="016E092F" w14:textId="71FABDFB" w:rsidR="004A426E" w:rsidRPr="004A426E" w:rsidRDefault="004A426E" w:rsidP="004A426E">
      <w:pPr>
        <w:pStyle w:val="NoSpacing"/>
      </w:pPr>
    </w:p>
    <w:p w14:paraId="0F413312" w14:textId="4310D43B" w:rsidR="00844D16" w:rsidRPr="004A426E" w:rsidRDefault="00844D16">
      <w:pPr>
        <w:rPr>
          <w:rFonts w:ascii="Arial" w:hAnsi="Arial" w:cs="Arial"/>
        </w:rPr>
      </w:pPr>
      <w:r w:rsidRPr="004A426E">
        <w:rPr>
          <w:rFonts w:ascii="Arial" w:hAnsi="Arial" w:cs="Arial"/>
        </w:rPr>
        <w:br w:type="page"/>
      </w:r>
    </w:p>
    <w:p w14:paraId="2629CECA" w14:textId="12147206" w:rsidR="00844D16" w:rsidRPr="004A426E" w:rsidRDefault="0085795B" w:rsidP="00844D16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4A426E">
        <w:rPr>
          <w:rFonts w:ascii="Arial" w:eastAsia="Calibri" w:hAnsi="Arial" w:cs="Arial"/>
          <w:b/>
          <w:sz w:val="24"/>
        </w:rPr>
        <w:lastRenderedPageBreak/>
        <w:t xml:space="preserve">Proposals </w:t>
      </w:r>
      <w:r w:rsidR="000C6EA1">
        <w:rPr>
          <w:rFonts w:ascii="Arial" w:eastAsia="Calibri" w:hAnsi="Arial" w:cs="Arial"/>
          <w:b/>
          <w:sz w:val="24"/>
        </w:rPr>
        <w:t xml:space="preserve">acceptance and </w:t>
      </w:r>
      <w:r w:rsidRPr="004A426E">
        <w:rPr>
          <w:rFonts w:ascii="Arial" w:eastAsia="Calibri" w:hAnsi="Arial" w:cs="Arial"/>
          <w:b/>
          <w:sz w:val="24"/>
        </w:rPr>
        <w:t>evaluation</w:t>
      </w:r>
    </w:p>
    <w:p w14:paraId="2CEEF406" w14:textId="77777777" w:rsidR="00844D16" w:rsidRPr="004A426E" w:rsidRDefault="00844D16" w:rsidP="00844D16">
      <w:pPr>
        <w:spacing w:after="0" w:line="240" w:lineRule="auto"/>
        <w:rPr>
          <w:rFonts w:ascii="Arial" w:eastAsia="Calibri" w:hAnsi="Arial" w:cs="Arial"/>
        </w:rPr>
      </w:pPr>
    </w:p>
    <w:p w14:paraId="66145F72" w14:textId="3E8425F7" w:rsidR="00844D16" w:rsidRPr="004A426E" w:rsidRDefault="00844D16" w:rsidP="00844D16">
      <w:pPr>
        <w:spacing w:after="0" w:line="240" w:lineRule="auto"/>
        <w:rPr>
          <w:rFonts w:ascii="Arial" w:eastAsia="Calibri" w:hAnsi="Arial" w:cs="Arial"/>
        </w:rPr>
      </w:pPr>
      <w:r w:rsidRPr="004A426E">
        <w:rPr>
          <w:rFonts w:ascii="Arial" w:eastAsia="Calibri" w:hAnsi="Arial" w:cs="Arial"/>
        </w:rPr>
        <w:t xml:space="preserve">The details requested from applicants and how these will be </w:t>
      </w:r>
      <w:r w:rsidR="0085795B" w:rsidRPr="004A426E">
        <w:rPr>
          <w:rFonts w:ascii="Arial" w:eastAsia="Calibri" w:hAnsi="Arial" w:cs="Arial"/>
        </w:rPr>
        <w:t>evaluated</w:t>
      </w:r>
      <w:r w:rsidRPr="004A426E">
        <w:rPr>
          <w:rFonts w:ascii="Arial" w:eastAsia="Calibri" w:hAnsi="Arial" w:cs="Arial"/>
        </w:rPr>
        <w:t xml:space="preserve"> </w:t>
      </w:r>
      <w:r w:rsidR="0085795B" w:rsidRPr="004A426E">
        <w:rPr>
          <w:rFonts w:ascii="Arial" w:eastAsia="Calibri" w:hAnsi="Arial" w:cs="Arial"/>
        </w:rPr>
        <w:t>are</w:t>
      </w:r>
      <w:r w:rsidRPr="004A426E">
        <w:rPr>
          <w:rFonts w:ascii="Arial" w:eastAsia="Calibri" w:hAnsi="Arial" w:cs="Arial"/>
        </w:rPr>
        <w:t xml:space="preserve"> as follows:</w:t>
      </w:r>
    </w:p>
    <w:p w14:paraId="41B67269" w14:textId="77777777" w:rsidR="00844D16" w:rsidRPr="004A426E" w:rsidRDefault="00844D16" w:rsidP="00844D16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0F4FEB88" w14:textId="77777777" w:rsidR="00844D16" w:rsidRPr="004A426E" w:rsidRDefault="00844D16" w:rsidP="00844D16">
      <w:pPr>
        <w:spacing w:after="0" w:line="240" w:lineRule="auto"/>
        <w:rPr>
          <w:rFonts w:ascii="Arial" w:eastAsia="Calibri" w:hAnsi="Arial" w:cs="Arial"/>
          <w:b/>
        </w:rPr>
      </w:pPr>
    </w:p>
    <w:p w14:paraId="080B7B87" w14:textId="11FB4D7D" w:rsidR="00844D16" w:rsidRPr="004A426E" w:rsidRDefault="00844D16" w:rsidP="00844D16">
      <w:pPr>
        <w:numPr>
          <w:ilvl w:val="0"/>
          <w:numId w:val="14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4A426E">
        <w:rPr>
          <w:rFonts w:ascii="Arial" w:eastAsia="Calibri" w:hAnsi="Arial" w:cs="Arial"/>
          <w:b/>
        </w:rPr>
        <w:t>Confirm that the PhD project would start October 2021 and complete in 4 years</w:t>
      </w:r>
      <w:r w:rsidR="00881D63">
        <w:rPr>
          <w:rFonts w:ascii="Arial" w:eastAsia="Calibri" w:hAnsi="Arial" w:cs="Arial"/>
          <w:b/>
        </w:rPr>
        <w:t xml:space="preserve"> (not evaluated)</w:t>
      </w:r>
    </w:p>
    <w:p w14:paraId="3B8EA995" w14:textId="77777777" w:rsidR="00844D16" w:rsidRPr="004A426E" w:rsidRDefault="00844D16" w:rsidP="00844D16">
      <w:pPr>
        <w:spacing w:after="0" w:line="240" w:lineRule="auto"/>
        <w:ind w:left="420"/>
        <w:contextualSpacing/>
        <w:rPr>
          <w:rFonts w:ascii="Arial" w:eastAsia="Calibri" w:hAnsi="Arial" w:cs="Arial"/>
        </w:rPr>
      </w:pPr>
    </w:p>
    <w:p w14:paraId="0EA3A7FF" w14:textId="070CB334" w:rsidR="00844D16" w:rsidRPr="004A426E" w:rsidRDefault="00844D16" w:rsidP="00844D16">
      <w:pPr>
        <w:spacing w:after="0" w:line="240" w:lineRule="auto"/>
        <w:rPr>
          <w:rFonts w:ascii="Arial" w:eastAsia="Calibri" w:hAnsi="Arial" w:cs="Arial"/>
        </w:rPr>
      </w:pPr>
      <w:r w:rsidRPr="004A426E">
        <w:rPr>
          <w:rFonts w:ascii="Arial" w:eastAsia="Calibri" w:hAnsi="Arial" w:cs="Arial"/>
        </w:rPr>
        <w:t>Applicants are requested to confirm the project will be able to start in October 2021 and be completed within 4 years.</w:t>
      </w:r>
    </w:p>
    <w:p w14:paraId="37709D6E" w14:textId="77777777" w:rsidR="00844D16" w:rsidRPr="004A426E" w:rsidRDefault="00844D16" w:rsidP="00844D16">
      <w:pPr>
        <w:spacing w:after="0" w:line="240" w:lineRule="auto"/>
        <w:rPr>
          <w:rFonts w:ascii="Arial" w:eastAsia="Calibri" w:hAnsi="Arial" w:cs="Arial"/>
        </w:rPr>
      </w:pPr>
    </w:p>
    <w:p w14:paraId="76545CD9" w14:textId="77777777" w:rsidR="00844D16" w:rsidRPr="004A426E" w:rsidRDefault="00844D16" w:rsidP="00844D16">
      <w:pPr>
        <w:spacing w:after="0" w:line="240" w:lineRule="auto"/>
        <w:rPr>
          <w:rFonts w:ascii="Arial" w:eastAsia="Calibri" w:hAnsi="Arial" w:cs="Arial"/>
          <w:b/>
        </w:rPr>
      </w:pPr>
    </w:p>
    <w:p w14:paraId="1D7AF382" w14:textId="1AEB7A16" w:rsidR="00844D16" w:rsidRPr="004A426E" w:rsidRDefault="00844D16" w:rsidP="00844D16">
      <w:pPr>
        <w:numPr>
          <w:ilvl w:val="0"/>
          <w:numId w:val="14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4A426E">
        <w:rPr>
          <w:rFonts w:ascii="Arial" w:eastAsia="Calibri" w:hAnsi="Arial" w:cs="Arial"/>
          <w:b/>
        </w:rPr>
        <w:t>Acceptance of the attached terms and conditions of the</w:t>
      </w:r>
      <w:r w:rsidR="004A426E" w:rsidRPr="004A426E">
        <w:rPr>
          <w:rFonts w:ascii="Arial" w:eastAsia="Calibri" w:hAnsi="Arial" w:cs="Arial"/>
          <w:b/>
        </w:rPr>
        <w:t xml:space="preserve"> grant</w:t>
      </w:r>
      <w:r w:rsidRPr="004A426E">
        <w:rPr>
          <w:rFonts w:ascii="Arial" w:eastAsia="Calibri" w:hAnsi="Arial" w:cs="Arial"/>
          <w:b/>
        </w:rPr>
        <w:t xml:space="preserve"> is </w:t>
      </w:r>
      <w:r w:rsidR="00C55BC6">
        <w:rPr>
          <w:rFonts w:ascii="Arial" w:eastAsia="Calibri" w:hAnsi="Arial" w:cs="Arial"/>
          <w:b/>
        </w:rPr>
        <w:t>mandatory:</w:t>
      </w:r>
    </w:p>
    <w:p w14:paraId="0CDD5078" w14:textId="6F84CEDC" w:rsidR="00C55BC6" w:rsidRPr="00C55BC6" w:rsidRDefault="00C55BC6" w:rsidP="00C55BC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Calibri" w:hAnsi="Arial" w:cs="Arial"/>
        </w:rPr>
      </w:pPr>
      <w:r w:rsidRPr="00C55BC6">
        <w:rPr>
          <w:rFonts w:ascii="Arial" w:eastAsia="Calibri" w:hAnsi="Arial" w:cs="Arial"/>
        </w:rPr>
        <w:t xml:space="preserve">Acceptance of the attached RWM terms and conditions is mandatory. A completed grant agreement isn’t needed with the application, but will be required if funding is awarded. </w:t>
      </w:r>
    </w:p>
    <w:p w14:paraId="2164D207" w14:textId="68ABB87A" w:rsidR="00C55BC6" w:rsidRPr="00C55BC6" w:rsidRDefault="00C55BC6" w:rsidP="00C55BC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Calibri" w:hAnsi="Arial" w:cs="Arial"/>
        </w:rPr>
      </w:pPr>
      <w:r w:rsidRPr="00C55BC6">
        <w:rPr>
          <w:rFonts w:ascii="Arial" w:eastAsia="Calibri" w:hAnsi="Arial" w:cs="Arial"/>
        </w:rPr>
        <w:t>If the grant agreement is not signed on award, then funding will not be issued.</w:t>
      </w:r>
    </w:p>
    <w:p w14:paraId="791A1854" w14:textId="34DD73BB" w:rsidR="00844D16" w:rsidRPr="00C55BC6" w:rsidRDefault="00C55BC6" w:rsidP="00C55BC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Calibri" w:hAnsi="Arial" w:cs="Arial"/>
        </w:rPr>
      </w:pPr>
      <w:r w:rsidRPr="00C55BC6">
        <w:rPr>
          <w:rFonts w:ascii="Arial" w:eastAsia="Calibri" w:hAnsi="Arial" w:cs="Arial"/>
        </w:rPr>
        <w:t>If after the grant award the grant agreement is not signed within 30 days, then RWM reserves the right to withdraw the award of the grant.</w:t>
      </w:r>
    </w:p>
    <w:p w14:paraId="79244F77" w14:textId="77777777" w:rsidR="00844D16" w:rsidRPr="004A426E" w:rsidRDefault="00844D16" w:rsidP="00844D1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44D16" w:rsidRPr="004A426E" w14:paraId="224EF0FC" w14:textId="77777777" w:rsidTr="004647D5">
        <w:trPr>
          <w:trHeight w:val="1157"/>
        </w:trPr>
        <w:tc>
          <w:tcPr>
            <w:tcW w:w="1980" w:type="dxa"/>
            <w:vAlign w:val="center"/>
          </w:tcPr>
          <w:p w14:paraId="0109794D" w14:textId="77777777" w:rsidR="00844D16" w:rsidRPr="004A426E" w:rsidRDefault="00844D16" w:rsidP="004647D5">
            <w:pPr>
              <w:rPr>
                <w:rFonts w:ascii="Arial" w:eastAsia="Calibri" w:hAnsi="Arial" w:cs="Arial"/>
                <w:b/>
              </w:rPr>
            </w:pPr>
            <w:r w:rsidRPr="004A426E">
              <w:rPr>
                <w:rFonts w:ascii="Arial" w:eastAsia="Calibri" w:hAnsi="Arial" w:cs="Arial"/>
                <w:b/>
              </w:rPr>
              <w:t>PASS/FAIL</w:t>
            </w:r>
          </w:p>
        </w:tc>
        <w:tc>
          <w:tcPr>
            <w:tcW w:w="7036" w:type="dxa"/>
            <w:vAlign w:val="center"/>
          </w:tcPr>
          <w:p w14:paraId="637F3631" w14:textId="4982AEE2" w:rsidR="00844D16" w:rsidRPr="004A426E" w:rsidRDefault="008A449F" w:rsidP="008A449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1539" w:dyaOrig="997" w14:anchorId="7465E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Link" ProgID="Word.Document.12" ShapeID="_x0000_i1025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14:paraId="7FD79A4E" w14:textId="77777777" w:rsidR="00844D16" w:rsidRPr="004A426E" w:rsidRDefault="00844D16" w:rsidP="00412EDE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1629A4A8" w14:textId="77777777" w:rsidR="00844D16" w:rsidRPr="004A426E" w:rsidRDefault="00844D16" w:rsidP="00844D16">
      <w:pPr>
        <w:spacing w:after="0" w:line="240" w:lineRule="auto"/>
        <w:ind w:left="420"/>
        <w:contextualSpacing/>
        <w:rPr>
          <w:rFonts w:ascii="Arial" w:eastAsia="Calibri" w:hAnsi="Arial" w:cs="Arial"/>
          <w:b/>
        </w:rPr>
      </w:pPr>
    </w:p>
    <w:p w14:paraId="6380B2E2" w14:textId="7478AF8B" w:rsidR="00412EDE" w:rsidRPr="004A426E" w:rsidRDefault="00412EDE" w:rsidP="00412EDE">
      <w:pPr>
        <w:numPr>
          <w:ilvl w:val="0"/>
          <w:numId w:val="14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4A426E">
        <w:rPr>
          <w:rFonts w:ascii="Arial" w:eastAsia="Calibri" w:hAnsi="Arial" w:cs="Arial"/>
          <w:b/>
        </w:rPr>
        <w:t>Evaluation criteria</w:t>
      </w:r>
      <w:r w:rsidR="00844D16" w:rsidRPr="004A426E">
        <w:rPr>
          <w:rFonts w:ascii="Arial" w:eastAsia="Calibri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884"/>
        <w:gridCol w:w="1376"/>
        <w:gridCol w:w="3977"/>
      </w:tblGrid>
      <w:tr w:rsidR="00412EDE" w:rsidRPr="004A426E" w14:paraId="025DF109" w14:textId="77777777" w:rsidTr="00307583">
        <w:trPr>
          <w:trHeight w:val="203"/>
        </w:trPr>
        <w:tc>
          <w:tcPr>
            <w:tcW w:w="2779" w:type="dxa"/>
            <w:shd w:val="clear" w:color="auto" w:fill="F2F2F2" w:themeFill="background1" w:themeFillShade="F2"/>
          </w:tcPr>
          <w:p w14:paraId="5B5B72F3" w14:textId="77777777" w:rsidR="00412EDE" w:rsidRPr="004A426E" w:rsidRDefault="00412EDE" w:rsidP="005C54D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A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Scoring criteria </w:t>
            </w:r>
          </w:p>
        </w:tc>
        <w:tc>
          <w:tcPr>
            <w:tcW w:w="884" w:type="dxa"/>
            <w:shd w:val="clear" w:color="auto" w:fill="F2F2F2" w:themeFill="background1" w:themeFillShade="F2"/>
          </w:tcPr>
          <w:p w14:paraId="5E55AEDD" w14:textId="77777777" w:rsidR="00412EDE" w:rsidRPr="004A426E" w:rsidRDefault="00412EDE" w:rsidP="005C54D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A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Score 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18224548" w14:textId="66AAAE73" w:rsidR="00412EDE" w:rsidRPr="004A426E" w:rsidRDefault="00412EDE" w:rsidP="005C54D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A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Weighting</w:t>
            </w:r>
            <w:r w:rsidR="004D0280" w:rsidRPr="004A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(out of 100%)</w:t>
            </w:r>
            <w:r w:rsidRPr="004A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shd w:val="clear" w:color="auto" w:fill="F2F2F2" w:themeFill="background1" w:themeFillShade="F2"/>
          </w:tcPr>
          <w:p w14:paraId="75C88B55" w14:textId="6B6768F2" w:rsidR="00412EDE" w:rsidRPr="004A426E" w:rsidRDefault="00412EDE" w:rsidP="005C54D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A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Description and guidance notes</w:t>
            </w:r>
          </w:p>
          <w:p w14:paraId="29963437" w14:textId="77777777" w:rsidR="00412EDE" w:rsidRPr="004A426E" w:rsidRDefault="00412EDE" w:rsidP="005C54D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2EDE" w:rsidRPr="004A426E" w14:paraId="12F3A854" w14:textId="77777777" w:rsidTr="00307583">
        <w:tc>
          <w:tcPr>
            <w:tcW w:w="2779" w:type="dxa"/>
          </w:tcPr>
          <w:p w14:paraId="182B8A39" w14:textId="77777777" w:rsidR="00186B46" w:rsidRDefault="00EF489A" w:rsidP="005C54DB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Please provide a clear proposal</w:t>
            </w:r>
            <w:r w:rsidR="00186B46">
              <w:rPr>
                <w:rFonts w:ascii="Arial" w:hAnsi="Arial" w:cs="Arial"/>
              </w:rPr>
              <w:t xml:space="preserve"> demonstrating alignment to the brief, or in the case of fulfilment of partial scope, please outline clearly the aspects of the brief to be fulfilled.</w:t>
            </w:r>
          </w:p>
          <w:p w14:paraId="68F48B95" w14:textId="60699976" w:rsidR="00412EDE" w:rsidRPr="004A426E" w:rsidRDefault="00186B46" w:rsidP="0018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define</w:t>
            </w:r>
            <w:r w:rsidR="00EF489A" w:rsidRPr="004A426E">
              <w:rPr>
                <w:rFonts w:ascii="Arial" w:hAnsi="Arial" w:cs="Arial"/>
              </w:rPr>
              <w:t xml:space="preserve"> the necessary timescales, including a project work plan and/or Gannt chart. If experimental work will be undertaken, a clear strategy for delivering, analysing and synthesising appropriate data should be detailed.</w:t>
            </w:r>
          </w:p>
        </w:tc>
        <w:tc>
          <w:tcPr>
            <w:tcW w:w="884" w:type="dxa"/>
          </w:tcPr>
          <w:p w14:paraId="089BBE82" w14:textId="77777777" w:rsidR="00412EDE" w:rsidRPr="004A426E" w:rsidRDefault="00412EDE" w:rsidP="005C54DB">
            <w:pPr>
              <w:jc w:val="center"/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/4</w:t>
            </w:r>
          </w:p>
        </w:tc>
        <w:tc>
          <w:tcPr>
            <w:tcW w:w="1376" w:type="dxa"/>
          </w:tcPr>
          <w:p w14:paraId="59E83081" w14:textId="2C04B1DE" w:rsidR="00412EDE" w:rsidRPr="004A426E" w:rsidRDefault="00307583" w:rsidP="002252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3977" w:type="dxa"/>
          </w:tcPr>
          <w:p w14:paraId="4CBA62F2" w14:textId="556006C8" w:rsidR="00EF489A" w:rsidRDefault="00EF489A" w:rsidP="00EF489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14:paraId="5FF0FAF3" w14:textId="33E5E4C1" w:rsidR="00186B46" w:rsidRPr="004A426E" w:rsidRDefault="00186B46" w:rsidP="00EF489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A </w:t>
            </w:r>
            <w:r>
              <w:rPr>
                <w:rFonts w:ascii="Arial" w:hAnsi="Arial" w:cs="Arial"/>
              </w:rPr>
              <w:t>demonstrable understanding of the challenge area and complexities within that, referring to the research brief;</w:t>
            </w:r>
          </w:p>
          <w:p w14:paraId="2572CEAF" w14:textId="66811C27" w:rsidR="00EF489A" w:rsidRPr="004A426E" w:rsidRDefault="00EF489A" w:rsidP="00EF489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A project plan / Gannt chart showing key phases of work, milestones and deliverables including completing within required period of time;</w:t>
            </w:r>
          </w:p>
          <w:p w14:paraId="406FD136" w14:textId="022201E7" w:rsidR="00EF489A" w:rsidRPr="004A426E" w:rsidRDefault="00EF489A" w:rsidP="00EF489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Clearly defined input / time / resources that would be required from RWM, excluding industrial supervision, to support or enable the project, such as security clearance, sample access or site visit to a licensed site;</w:t>
            </w:r>
          </w:p>
          <w:p w14:paraId="1CB9E2F4" w14:textId="26444723" w:rsidR="00EF489A" w:rsidRPr="004A426E" w:rsidRDefault="00EF489A" w:rsidP="00EF489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Identify any major risks to the research and mitigation that can be considered against these risks, including any risks of the research to </w:t>
            </w:r>
            <w:r w:rsidRPr="004A426E">
              <w:rPr>
                <w:rFonts w:ascii="Arial" w:hAnsi="Arial" w:cs="Arial"/>
              </w:rPr>
              <w:lastRenderedPageBreak/>
              <w:t>be extended past agreed period of time;</w:t>
            </w:r>
          </w:p>
          <w:p w14:paraId="3B99B64E" w14:textId="2469CC8E" w:rsidR="00412EDE" w:rsidRPr="004A426E" w:rsidRDefault="00EF489A" w:rsidP="00EF489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Identify any use of external facilities, such as NNUF or other national / international infrastructure and demonstrate that proposed activity has been discussed in advance with the relevant facility owners and is feasible within the bounds of the proposal.</w:t>
            </w:r>
          </w:p>
        </w:tc>
      </w:tr>
      <w:tr w:rsidR="00412EDE" w:rsidRPr="004A426E" w14:paraId="7BC0AFC5" w14:textId="77777777" w:rsidTr="00307583">
        <w:tc>
          <w:tcPr>
            <w:tcW w:w="2779" w:type="dxa"/>
          </w:tcPr>
          <w:p w14:paraId="2FCD84F4" w14:textId="78F7906E" w:rsidR="00412EDE" w:rsidRPr="004A426E" w:rsidRDefault="000C6EA1" w:rsidP="005C54DB">
            <w:pPr>
              <w:rPr>
                <w:rFonts w:ascii="Arial" w:hAnsi="Arial" w:cs="Arial"/>
              </w:rPr>
            </w:pPr>
            <w:r w:rsidRPr="000C6EA1">
              <w:rPr>
                <w:rFonts w:ascii="Arial" w:hAnsi="Arial" w:cs="Arial"/>
              </w:rPr>
              <w:lastRenderedPageBreak/>
              <w:t>Please show how the supervisory team has the required expertise in the relevant areas.</w:t>
            </w:r>
          </w:p>
        </w:tc>
        <w:tc>
          <w:tcPr>
            <w:tcW w:w="884" w:type="dxa"/>
          </w:tcPr>
          <w:p w14:paraId="7A724CF1" w14:textId="77777777" w:rsidR="00412EDE" w:rsidRPr="004A426E" w:rsidRDefault="00412EDE" w:rsidP="005C54D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A426E">
              <w:rPr>
                <w:rFonts w:ascii="Arial" w:hAnsi="Arial" w:cs="Arial"/>
              </w:rPr>
              <w:t>/4</w:t>
            </w:r>
          </w:p>
        </w:tc>
        <w:tc>
          <w:tcPr>
            <w:tcW w:w="1376" w:type="dxa"/>
          </w:tcPr>
          <w:p w14:paraId="0DFEC49F" w14:textId="2E10731D" w:rsidR="00412EDE" w:rsidRPr="004A426E" w:rsidRDefault="00307583" w:rsidP="005C54DB">
            <w:pPr>
              <w:jc w:val="center"/>
              <w:rPr>
                <w:rFonts w:ascii="Arial" w:hAnsi="Arial" w:cs="Arial"/>
              </w:rPr>
            </w:pPr>
            <w:r w:rsidRPr="00270225">
              <w:rPr>
                <w:rFonts w:ascii="Arial" w:hAnsi="Arial" w:cs="Arial"/>
              </w:rPr>
              <w:t>10</w:t>
            </w:r>
            <w:r w:rsidR="00412EDE" w:rsidRPr="00270225">
              <w:rPr>
                <w:rFonts w:ascii="Arial" w:hAnsi="Arial" w:cs="Arial"/>
              </w:rPr>
              <w:t>%</w:t>
            </w:r>
          </w:p>
        </w:tc>
        <w:tc>
          <w:tcPr>
            <w:tcW w:w="3977" w:type="dxa"/>
          </w:tcPr>
          <w:p w14:paraId="7B0E42A1" w14:textId="799306A1" w:rsidR="00412EDE" w:rsidRDefault="000C6EA1" w:rsidP="005C54DB">
            <w:pPr>
              <w:rPr>
                <w:rFonts w:ascii="Arial" w:hAnsi="Arial" w:cs="Arial"/>
              </w:rPr>
            </w:pPr>
            <w:r w:rsidRPr="000C6EA1">
              <w:rPr>
                <w:rFonts w:ascii="Arial" w:hAnsi="Arial" w:cs="Arial"/>
              </w:rPr>
              <w:t xml:space="preserve">Expertise required in </w:t>
            </w:r>
            <w:r w:rsidR="00307583">
              <w:rPr>
                <w:rFonts w:ascii="Arial" w:hAnsi="Arial" w:cs="Arial"/>
              </w:rPr>
              <w:t>material science and radiochemistry</w:t>
            </w:r>
            <w:r w:rsidRPr="000C6EA1">
              <w:rPr>
                <w:rFonts w:ascii="Arial" w:hAnsi="Arial" w:cs="Arial"/>
              </w:rPr>
              <w:t>, evidenced by e.g. journal papers, reports</w:t>
            </w:r>
            <w:r w:rsidR="004405E9">
              <w:rPr>
                <w:rFonts w:ascii="Arial" w:hAnsi="Arial" w:cs="Arial"/>
              </w:rPr>
              <w:t xml:space="preserve">. </w:t>
            </w:r>
            <w:r w:rsidR="00307583">
              <w:rPr>
                <w:rFonts w:ascii="Arial" w:hAnsi="Arial" w:cs="Arial"/>
              </w:rPr>
              <w:t>This section</w:t>
            </w:r>
            <w:r w:rsidR="004405E9">
              <w:rPr>
                <w:rFonts w:ascii="Arial" w:hAnsi="Arial" w:cs="Arial"/>
              </w:rPr>
              <w:t xml:space="preserve"> will be assessed in relation to career stage and experience</w:t>
            </w:r>
            <w:r w:rsidRPr="000C6EA1">
              <w:rPr>
                <w:rFonts w:ascii="Arial" w:hAnsi="Arial" w:cs="Arial"/>
              </w:rPr>
              <w:t>.</w:t>
            </w:r>
            <w:r w:rsidR="004405E9">
              <w:rPr>
                <w:rFonts w:ascii="Arial" w:hAnsi="Arial" w:cs="Arial"/>
              </w:rPr>
              <w:t xml:space="preserve"> </w:t>
            </w:r>
          </w:p>
          <w:p w14:paraId="324B28D0" w14:textId="4E82DF21" w:rsidR="004405E9" w:rsidRDefault="004405E9" w:rsidP="005C5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inclusion of early career researchers</w:t>
            </w:r>
            <w:r w:rsidR="00307583">
              <w:rPr>
                <w:rFonts w:ascii="Arial" w:hAnsi="Arial" w:cs="Arial"/>
              </w:rPr>
              <w:t>, and / or researchers new to radioactive waste disposal,</w:t>
            </w:r>
            <w:r>
              <w:rPr>
                <w:rFonts w:ascii="Arial" w:hAnsi="Arial" w:cs="Arial"/>
              </w:rPr>
              <w:t xml:space="preserve"> in the supervisory team </w:t>
            </w:r>
            <w:r w:rsidR="001E2E12">
              <w:rPr>
                <w:rFonts w:ascii="Arial" w:hAnsi="Arial" w:cs="Arial"/>
              </w:rPr>
              <w:t>is encouraged</w:t>
            </w:r>
            <w:r>
              <w:rPr>
                <w:rFonts w:ascii="Arial" w:hAnsi="Arial" w:cs="Arial"/>
              </w:rPr>
              <w:t>.</w:t>
            </w:r>
          </w:p>
          <w:p w14:paraId="219211C6" w14:textId="59E7A8AE" w:rsidR="004405E9" w:rsidRPr="004A426E" w:rsidRDefault="004405E9" w:rsidP="005C54DB">
            <w:pPr>
              <w:rPr>
                <w:rFonts w:ascii="Arial" w:hAnsi="Arial" w:cs="Arial"/>
              </w:rPr>
            </w:pPr>
          </w:p>
        </w:tc>
      </w:tr>
      <w:tr w:rsidR="00307583" w:rsidRPr="004A426E" w14:paraId="26EE1895" w14:textId="77777777" w:rsidTr="00307583">
        <w:tc>
          <w:tcPr>
            <w:tcW w:w="2779" w:type="dxa"/>
          </w:tcPr>
          <w:p w14:paraId="25A4729D" w14:textId="77777777" w:rsidR="00307583" w:rsidRDefault="00307583" w:rsidP="005C5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capability generation.</w:t>
            </w:r>
          </w:p>
          <w:p w14:paraId="5E2BB272" w14:textId="57319EC3" w:rsidR="00307583" w:rsidRPr="000C6EA1" w:rsidRDefault="00307583" w:rsidP="005C54DB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D69A1A5" w14:textId="78C71A62" w:rsidR="00307583" w:rsidRPr="004A426E" w:rsidRDefault="00307583" w:rsidP="005C5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</w:t>
            </w:r>
          </w:p>
        </w:tc>
        <w:tc>
          <w:tcPr>
            <w:tcW w:w="1376" w:type="dxa"/>
          </w:tcPr>
          <w:p w14:paraId="686B15CC" w14:textId="2FB950F6" w:rsidR="00307583" w:rsidRDefault="00307583" w:rsidP="005C54DB">
            <w:pPr>
              <w:jc w:val="center"/>
              <w:rPr>
                <w:rFonts w:ascii="Arial" w:hAnsi="Arial" w:cs="Arial"/>
                <w:highlight w:val="yellow"/>
              </w:rPr>
            </w:pPr>
            <w:r w:rsidRPr="00270225">
              <w:rPr>
                <w:rFonts w:ascii="Arial" w:hAnsi="Arial" w:cs="Arial"/>
              </w:rPr>
              <w:t>10%</w:t>
            </w:r>
          </w:p>
        </w:tc>
        <w:tc>
          <w:tcPr>
            <w:tcW w:w="3977" w:type="dxa"/>
          </w:tcPr>
          <w:p w14:paraId="654FC199" w14:textId="6C6D781C" w:rsidR="00307583" w:rsidRDefault="00B129F5" w:rsidP="005C5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skills that will be developed </w:t>
            </w:r>
            <w:r w:rsidR="00DB352C">
              <w:rPr>
                <w:rFonts w:ascii="Arial" w:hAnsi="Arial" w:cs="Arial"/>
              </w:rPr>
              <w:t>by the proposed work and why they are relevant to the future of RWM.</w:t>
            </w:r>
          </w:p>
          <w:p w14:paraId="6F3031A9" w14:textId="51EC119E" w:rsidR="00DB352C" w:rsidRPr="000C6EA1" w:rsidRDefault="00DB352C" w:rsidP="005C5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how skills will be developed within the wider supervisory team.</w:t>
            </w:r>
          </w:p>
        </w:tc>
      </w:tr>
      <w:tr w:rsidR="00412EDE" w:rsidRPr="004A426E" w14:paraId="0141360C" w14:textId="77777777" w:rsidTr="00307583">
        <w:tc>
          <w:tcPr>
            <w:tcW w:w="2779" w:type="dxa"/>
          </w:tcPr>
          <w:p w14:paraId="2A24066A" w14:textId="77777777" w:rsidR="00412EDE" w:rsidRPr="004A426E" w:rsidRDefault="00412EDE" w:rsidP="005C54DB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 xml:space="preserve">Please provide a costed proposal, identifying additional ‘in-kind’ contributions which you can bring to the PhD project. </w:t>
            </w:r>
          </w:p>
        </w:tc>
        <w:tc>
          <w:tcPr>
            <w:tcW w:w="884" w:type="dxa"/>
          </w:tcPr>
          <w:p w14:paraId="4316CF13" w14:textId="77777777" w:rsidR="00412EDE" w:rsidRPr="004A426E" w:rsidRDefault="00412EDE" w:rsidP="005C54D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A426E">
              <w:rPr>
                <w:rFonts w:ascii="Arial" w:hAnsi="Arial" w:cs="Arial"/>
              </w:rPr>
              <w:t>/4</w:t>
            </w:r>
          </w:p>
        </w:tc>
        <w:tc>
          <w:tcPr>
            <w:tcW w:w="1376" w:type="dxa"/>
          </w:tcPr>
          <w:p w14:paraId="5D12D914" w14:textId="2A623CC3" w:rsidR="00412EDE" w:rsidRPr="004A426E" w:rsidRDefault="00307583" w:rsidP="005C54DB">
            <w:pPr>
              <w:jc w:val="center"/>
              <w:rPr>
                <w:rFonts w:ascii="Arial" w:hAnsi="Arial" w:cs="Arial"/>
              </w:rPr>
            </w:pPr>
            <w:r w:rsidRPr="00270225">
              <w:rPr>
                <w:rFonts w:ascii="Arial" w:hAnsi="Arial" w:cs="Arial"/>
              </w:rPr>
              <w:t>3</w:t>
            </w:r>
            <w:r w:rsidR="00412EDE" w:rsidRPr="00270225">
              <w:rPr>
                <w:rFonts w:ascii="Arial" w:hAnsi="Arial" w:cs="Arial"/>
              </w:rPr>
              <w:t>0%</w:t>
            </w:r>
          </w:p>
        </w:tc>
        <w:tc>
          <w:tcPr>
            <w:tcW w:w="3977" w:type="dxa"/>
          </w:tcPr>
          <w:p w14:paraId="371EB18D" w14:textId="5280791C" w:rsidR="00412EDE" w:rsidRPr="004A426E" w:rsidRDefault="00412EDE" w:rsidP="005C54DB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Identify cost breakdown between Tuition Fees, Stipend and Research &amp; Training Grant</w:t>
            </w:r>
            <w:r w:rsidR="004F0365">
              <w:rPr>
                <w:rFonts w:ascii="Arial" w:hAnsi="Arial" w:cs="Arial"/>
              </w:rPr>
              <w:t>, providing details of the estimates</w:t>
            </w:r>
            <w:r w:rsidRPr="004A426E">
              <w:rPr>
                <w:rFonts w:ascii="Arial" w:hAnsi="Arial" w:cs="Arial"/>
              </w:rPr>
              <w:t xml:space="preserve">. </w:t>
            </w:r>
            <w:r w:rsidR="00625E64">
              <w:rPr>
                <w:rFonts w:ascii="Arial" w:hAnsi="Arial" w:cs="Arial"/>
              </w:rPr>
              <w:t>Provide information on</w:t>
            </w:r>
            <w:r w:rsidRPr="004A426E">
              <w:rPr>
                <w:rFonts w:ascii="Arial" w:hAnsi="Arial" w:cs="Arial"/>
              </w:rPr>
              <w:t xml:space="preserve"> any </w:t>
            </w:r>
            <w:r w:rsidR="00625E64">
              <w:rPr>
                <w:rFonts w:ascii="Arial" w:hAnsi="Arial" w:cs="Arial"/>
              </w:rPr>
              <w:t xml:space="preserve">secured or applied for </w:t>
            </w:r>
            <w:r w:rsidRPr="004A426E">
              <w:rPr>
                <w:rFonts w:ascii="Arial" w:hAnsi="Arial" w:cs="Arial"/>
              </w:rPr>
              <w:t xml:space="preserve">funds or in-kind contributions to enhance the PhD. </w:t>
            </w:r>
          </w:p>
          <w:p w14:paraId="2F8E4D88" w14:textId="77777777" w:rsidR="00412EDE" w:rsidRPr="004A426E" w:rsidRDefault="00412EDE" w:rsidP="005C54DB">
            <w:pPr>
              <w:rPr>
                <w:rFonts w:ascii="Arial" w:hAnsi="Arial" w:cs="Arial"/>
              </w:rPr>
            </w:pPr>
          </w:p>
        </w:tc>
      </w:tr>
    </w:tbl>
    <w:p w14:paraId="6AB61A73" w14:textId="0DB6CAB6" w:rsidR="004405E9" w:rsidRDefault="004405E9" w:rsidP="00412EDE">
      <w:pPr>
        <w:rPr>
          <w:rFonts w:ascii="Arial" w:hAnsi="Arial" w:cs="Arial"/>
          <w:b/>
          <w:bCs/>
          <w:i/>
          <w:iCs/>
          <w:u w:val="single"/>
        </w:rPr>
      </w:pPr>
    </w:p>
    <w:p w14:paraId="3D7F838F" w14:textId="0F2DCA49" w:rsidR="00412EDE" w:rsidRPr="004A426E" w:rsidRDefault="00412EDE" w:rsidP="00412EDE">
      <w:pPr>
        <w:rPr>
          <w:rFonts w:ascii="Arial" w:hAnsi="Arial" w:cs="Arial"/>
          <w:b/>
          <w:bCs/>
          <w:i/>
          <w:iCs/>
          <w:u w:val="single"/>
        </w:rPr>
      </w:pPr>
      <w:r w:rsidRPr="004A426E">
        <w:rPr>
          <w:rFonts w:ascii="Arial" w:hAnsi="Arial" w:cs="Arial"/>
          <w:b/>
          <w:bCs/>
          <w:i/>
          <w:iCs/>
          <w:u w:val="single"/>
        </w:rPr>
        <w:t xml:space="preserve">Scoring criteria: </w:t>
      </w:r>
    </w:p>
    <w:p w14:paraId="5FE6CC34" w14:textId="77777777" w:rsidR="00412EDE" w:rsidRPr="004A426E" w:rsidRDefault="00412EDE" w:rsidP="00412EDE">
      <w:pPr>
        <w:rPr>
          <w:rFonts w:ascii="Arial" w:hAnsi="Arial" w:cs="Arial"/>
        </w:rPr>
      </w:pPr>
      <w:r w:rsidRPr="004A426E">
        <w:rPr>
          <w:rFonts w:ascii="Arial" w:hAnsi="Arial" w:cs="Arial"/>
        </w:rPr>
        <w:t xml:space="preserve">0= No response or response does not meet any requirements </w:t>
      </w:r>
    </w:p>
    <w:p w14:paraId="3434DD21" w14:textId="77777777" w:rsidR="00412EDE" w:rsidRPr="004A426E" w:rsidRDefault="00412EDE" w:rsidP="00412EDE">
      <w:pPr>
        <w:rPr>
          <w:rFonts w:ascii="Arial" w:hAnsi="Arial" w:cs="Arial"/>
        </w:rPr>
      </w:pPr>
      <w:r w:rsidRPr="004A426E">
        <w:rPr>
          <w:rFonts w:ascii="Arial" w:hAnsi="Arial" w:cs="Arial"/>
        </w:rPr>
        <w:t xml:space="preserve">1= Marginal response with significant drawbacks or omissions </w:t>
      </w:r>
    </w:p>
    <w:p w14:paraId="6B140697" w14:textId="77777777" w:rsidR="00412EDE" w:rsidRPr="004A426E" w:rsidRDefault="00412EDE" w:rsidP="00412EDE">
      <w:pPr>
        <w:rPr>
          <w:rFonts w:ascii="Arial" w:hAnsi="Arial" w:cs="Arial"/>
        </w:rPr>
      </w:pPr>
      <w:r w:rsidRPr="004A426E">
        <w:rPr>
          <w:rFonts w:ascii="Arial" w:hAnsi="Arial" w:cs="Arial"/>
        </w:rPr>
        <w:t>2= Acceptable response, meeting most criteria with only minor drawbacks or omissions</w:t>
      </w:r>
    </w:p>
    <w:p w14:paraId="7A4DB342" w14:textId="77777777" w:rsidR="00412EDE" w:rsidRPr="004A426E" w:rsidRDefault="00412EDE" w:rsidP="00412EDE">
      <w:pPr>
        <w:rPr>
          <w:rFonts w:ascii="Arial" w:hAnsi="Arial" w:cs="Arial"/>
        </w:rPr>
      </w:pPr>
      <w:r w:rsidRPr="004A426E">
        <w:rPr>
          <w:rFonts w:ascii="Arial" w:hAnsi="Arial" w:cs="Arial"/>
        </w:rPr>
        <w:t xml:space="preserve">3= Good response which meets all requirements </w:t>
      </w:r>
    </w:p>
    <w:p w14:paraId="449A60A6" w14:textId="3C2DA2AF" w:rsidR="00844D16" w:rsidRPr="004A426E" w:rsidRDefault="00412EDE" w:rsidP="00412EDE">
      <w:pPr>
        <w:rPr>
          <w:rFonts w:ascii="Arial" w:hAnsi="Arial" w:cs="Arial"/>
        </w:rPr>
      </w:pPr>
      <w:r w:rsidRPr="004A426E">
        <w:rPr>
          <w:rFonts w:ascii="Arial" w:hAnsi="Arial" w:cs="Arial"/>
        </w:rPr>
        <w:t xml:space="preserve">4= Excellent response which meets and exceeds requirements </w:t>
      </w:r>
    </w:p>
    <w:sectPr w:rsidR="00844D16" w:rsidRPr="004A426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D26C" w14:textId="77777777" w:rsidR="005B5803" w:rsidRDefault="005B5803" w:rsidP="00EF4DA9">
      <w:pPr>
        <w:spacing w:after="0" w:line="240" w:lineRule="auto"/>
      </w:pPr>
      <w:r>
        <w:separator/>
      </w:r>
    </w:p>
  </w:endnote>
  <w:endnote w:type="continuationSeparator" w:id="0">
    <w:p w14:paraId="626DE338" w14:textId="77777777" w:rsidR="005B5803" w:rsidRDefault="005B5803" w:rsidP="00E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2A14" w14:textId="5B84B58B" w:rsidR="008616FD" w:rsidRDefault="00CA0BA4" w:rsidP="008616FD">
    <w:pPr>
      <w:pStyle w:val="Footer"/>
      <w:jc w:val="right"/>
    </w:pPr>
    <w:r>
      <w:t>DNLEU</w:t>
    </w:r>
    <w:r w:rsidR="008616FD">
      <w:t xml:space="preserve"> PhD call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AA5A" w14:textId="77777777" w:rsidR="005B5803" w:rsidRDefault="005B5803" w:rsidP="00EF4DA9">
      <w:pPr>
        <w:spacing w:after="0" w:line="240" w:lineRule="auto"/>
      </w:pPr>
      <w:r>
        <w:separator/>
      </w:r>
    </w:p>
  </w:footnote>
  <w:footnote w:type="continuationSeparator" w:id="0">
    <w:p w14:paraId="66E0EC06" w14:textId="77777777" w:rsidR="005B5803" w:rsidRDefault="005B5803" w:rsidP="00E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5A56" w14:textId="487BF9D5" w:rsidR="008616FD" w:rsidRDefault="008616FD" w:rsidP="008616FD">
    <w:pPr>
      <w:pStyle w:val="NoSpacing"/>
    </w:pPr>
    <w:r>
      <w:t>RWM Research Support Office</w:t>
    </w:r>
  </w:p>
  <w:p w14:paraId="56E3668A" w14:textId="5261AE5C" w:rsidR="008616FD" w:rsidRDefault="008616FD" w:rsidP="008616FD">
    <w:pPr>
      <w:pStyle w:val="NoSpacing"/>
    </w:pPr>
  </w:p>
  <w:p w14:paraId="086AF12B" w14:textId="77777777" w:rsidR="008616FD" w:rsidRDefault="008616FD" w:rsidP="008616FD">
    <w:pPr>
      <w:pStyle w:val="NoSpacing"/>
    </w:pPr>
  </w:p>
  <w:p w14:paraId="18A1BEF4" w14:textId="77777777" w:rsidR="008616FD" w:rsidRDefault="008616FD" w:rsidP="008616FD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EAC"/>
    <w:multiLevelType w:val="hybridMultilevel"/>
    <w:tmpl w:val="E312C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DD"/>
    <w:multiLevelType w:val="hybridMultilevel"/>
    <w:tmpl w:val="00F2A7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2D41"/>
    <w:multiLevelType w:val="hybridMultilevel"/>
    <w:tmpl w:val="AEC67BD0"/>
    <w:lvl w:ilvl="0" w:tplc="B9E6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4F1"/>
    <w:multiLevelType w:val="hybridMultilevel"/>
    <w:tmpl w:val="4A9C9440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A2D"/>
    <w:multiLevelType w:val="hybridMultilevel"/>
    <w:tmpl w:val="E4B458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166A3"/>
    <w:multiLevelType w:val="hybridMultilevel"/>
    <w:tmpl w:val="A4B66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5453"/>
    <w:multiLevelType w:val="hybridMultilevel"/>
    <w:tmpl w:val="6CE2A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8D1"/>
    <w:multiLevelType w:val="hybridMultilevel"/>
    <w:tmpl w:val="75583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884"/>
    <w:multiLevelType w:val="hybridMultilevel"/>
    <w:tmpl w:val="22F69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15EE"/>
    <w:multiLevelType w:val="hybridMultilevel"/>
    <w:tmpl w:val="0BC860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101EB4"/>
    <w:multiLevelType w:val="hybridMultilevel"/>
    <w:tmpl w:val="093A4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3AA9"/>
    <w:multiLevelType w:val="hybridMultilevel"/>
    <w:tmpl w:val="F36C3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1924"/>
    <w:multiLevelType w:val="hybridMultilevel"/>
    <w:tmpl w:val="24DEA7C8"/>
    <w:lvl w:ilvl="0" w:tplc="17624DE2">
      <w:numFmt w:val="bullet"/>
      <w:lvlText w:val="•"/>
      <w:lvlJc w:val="left"/>
      <w:pPr>
        <w:ind w:left="720" w:hanging="6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6CF0C65"/>
    <w:multiLevelType w:val="hybridMultilevel"/>
    <w:tmpl w:val="8256B74E"/>
    <w:lvl w:ilvl="0" w:tplc="4FD64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487B"/>
    <w:multiLevelType w:val="hybridMultilevel"/>
    <w:tmpl w:val="28EA1E38"/>
    <w:lvl w:ilvl="0" w:tplc="8E0030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EA10DF3"/>
    <w:multiLevelType w:val="hybridMultilevel"/>
    <w:tmpl w:val="C90E9B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535E9"/>
    <w:multiLevelType w:val="hybridMultilevel"/>
    <w:tmpl w:val="D1B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21AA9"/>
    <w:multiLevelType w:val="hybridMultilevel"/>
    <w:tmpl w:val="6F42CCC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6"/>
  </w:num>
  <w:num w:numId="5">
    <w:abstractNumId w:val="17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3"/>
    <w:rsid w:val="00020406"/>
    <w:rsid w:val="0003278E"/>
    <w:rsid w:val="00036F07"/>
    <w:rsid w:val="00057606"/>
    <w:rsid w:val="000730EB"/>
    <w:rsid w:val="000900A0"/>
    <w:rsid w:val="00093D00"/>
    <w:rsid w:val="000A52CD"/>
    <w:rsid w:val="000C4EA8"/>
    <w:rsid w:val="000C6EA1"/>
    <w:rsid w:val="000C7E40"/>
    <w:rsid w:val="000D63BE"/>
    <w:rsid w:val="00106523"/>
    <w:rsid w:val="00127203"/>
    <w:rsid w:val="00130DA1"/>
    <w:rsid w:val="00165FA0"/>
    <w:rsid w:val="00186B46"/>
    <w:rsid w:val="001931CD"/>
    <w:rsid w:val="00193831"/>
    <w:rsid w:val="00197346"/>
    <w:rsid w:val="001B42D6"/>
    <w:rsid w:val="001B79D4"/>
    <w:rsid w:val="001E2E12"/>
    <w:rsid w:val="00200B21"/>
    <w:rsid w:val="00214413"/>
    <w:rsid w:val="0022052A"/>
    <w:rsid w:val="002252F3"/>
    <w:rsid w:val="00270225"/>
    <w:rsid w:val="00273846"/>
    <w:rsid w:val="002A1472"/>
    <w:rsid w:val="002B5A67"/>
    <w:rsid w:val="00304E11"/>
    <w:rsid w:val="00307583"/>
    <w:rsid w:val="00307C3D"/>
    <w:rsid w:val="00322C5D"/>
    <w:rsid w:val="003344B8"/>
    <w:rsid w:val="00346306"/>
    <w:rsid w:val="00346DD1"/>
    <w:rsid w:val="003758B7"/>
    <w:rsid w:val="00382B84"/>
    <w:rsid w:val="00386E8B"/>
    <w:rsid w:val="00391FAA"/>
    <w:rsid w:val="003969A2"/>
    <w:rsid w:val="003A6EC0"/>
    <w:rsid w:val="00412EDE"/>
    <w:rsid w:val="0042103F"/>
    <w:rsid w:val="004405E9"/>
    <w:rsid w:val="00446F3E"/>
    <w:rsid w:val="004574A9"/>
    <w:rsid w:val="004634B5"/>
    <w:rsid w:val="004647D5"/>
    <w:rsid w:val="0046540C"/>
    <w:rsid w:val="00471CC7"/>
    <w:rsid w:val="004A426E"/>
    <w:rsid w:val="004D0280"/>
    <w:rsid w:val="004D3EB7"/>
    <w:rsid w:val="004F0365"/>
    <w:rsid w:val="004F3AAC"/>
    <w:rsid w:val="00512E60"/>
    <w:rsid w:val="00550867"/>
    <w:rsid w:val="005560FA"/>
    <w:rsid w:val="005921AC"/>
    <w:rsid w:val="00597309"/>
    <w:rsid w:val="005B5803"/>
    <w:rsid w:val="005C5DD3"/>
    <w:rsid w:val="005D1532"/>
    <w:rsid w:val="005F6E0A"/>
    <w:rsid w:val="00603FEC"/>
    <w:rsid w:val="006041C2"/>
    <w:rsid w:val="00625E64"/>
    <w:rsid w:val="006270DF"/>
    <w:rsid w:val="00657411"/>
    <w:rsid w:val="00666E6B"/>
    <w:rsid w:val="006955DA"/>
    <w:rsid w:val="006B43F1"/>
    <w:rsid w:val="006C056A"/>
    <w:rsid w:val="006C280E"/>
    <w:rsid w:val="006E4661"/>
    <w:rsid w:val="006E58DA"/>
    <w:rsid w:val="006F4411"/>
    <w:rsid w:val="00703343"/>
    <w:rsid w:val="00703424"/>
    <w:rsid w:val="00737BDD"/>
    <w:rsid w:val="007660BE"/>
    <w:rsid w:val="00781856"/>
    <w:rsid w:val="007A5DA2"/>
    <w:rsid w:val="007C6EA5"/>
    <w:rsid w:val="007F2EC5"/>
    <w:rsid w:val="007F39DA"/>
    <w:rsid w:val="008079DB"/>
    <w:rsid w:val="00811BF0"/>
    <w:rsid w:val="0081463D"/>
    <w:rsid w:val="00831434"/>
    <w:rsid w:val="00833792"/>
    <w:rsid w:val="008405B6"/>
    <w:rsid w:val="00844D16"/>
    <w:rsid w:val="008454CE"/>
    <w:rsid w:val="00854CC6"/>
    <w:rsid w:val="0085795B"/>
    <w:rsid w:val="008616FD"/>
    <w:rsid w:val="00881D63"/>
    <w:rsid w:val="00884D90"/>
    <w:rsid w:val="008A449F"/>
    <w:rsid w:val="008E3FB8"/>
    <w:rsid w:val="008F470C"/>
    <w:rsid w:val="00907F7C"/>
    <w:rsid w:val="009144F8"/>
    <w:rsid w:val="00924636"/>
    <w:rsid w:val="0096183D"/>
    <w:rsid w:val="009705BB"/>
    <w:rsid w:val="00972EBE"/>
    <w:rsid w:val="00982007"/>
    <w:rsid w:val="00983FF9"/>
    <w:rsid w:val="00991406"/>
    <w:rsid w:val="009914C6"/>
    <w:rsid w:val="00996616"/>
    <w:rsid w:val="009C3816"/>
    <w:rsid w:val="009D06F4"/>
    <w:rsid w:val="009D18AE"/>
    <w:rsid w:val="009E58D0"/>
    <w:rsid w:val="00A175F3"/>
    <w:rsid w:val="00A21B51"/>
    <w:rsid w:val="00A3157C"/>
    <w:rsid w:val="00A57A54"/>
    <w:rsid w:val="00A81109"/>
    <w:rsid w:val="00A8119A"/>
    <w:rsid w:val="00AB2CC3"/>
    <w:rsid w:val="00AD4B9D"/>
    <w:rsid w:val="00B129F5"/>
    <w:rsid w:val="00B30056"/>
    <w:rsid w:val="00B34A30"/>
    <w:rsid w:val="00B3648F"/>
    <w:rsid w:val="00B3738C"/>
    <w:rsid w:val="00BD3939"/>
    <w:rsid w:val="00BE1DE4"/>
    <w:rsid w:val="00BF79E5"/>
    <w:rsid w:val="00C55BC6"/>
    <w:rsid w:val="00C8700B"/>
    <w:rsid w:val="00CA0BA4"/>
    <w:rsid w:val="00CC2468"/>
    <w:rsid w:val="00CC6EA3"/>
    <w:rsid w:val="00CD4121"/>
    <w:rsid w:val="00CE1D00"/>
    <w:rsid w:val="00CE6102"/>
    <w:rsid w:val="00CF3B21"/>
    <w:rsid w:val="00CF5398"/>
    <w:rsid w:val="00CF7253"/>
    <w:rsid w:val="00D12EFA"/>
    <w:rsid w:val="00D150B2"/>
    <w:rsid w:val="00D24560"/>
    <w:rsid w:val="00D24E95"/>
    <w:rsid w:val="00D31BD7"/>
    <w:rsid w:val="00D35402"/>
    <w:rsid w:val="00D46C44"/>
    <w:rsid w:val="00D54975"/>
    <w:rsid w:val="00D60AC2"/>
    <w:rsid w:val="00D62093"/>
    <w:rsid w:val="00D63BA3"/>
    <w:rsid w:val="00D76BF5"/>
    <w:rsid w:val="00DB352C"/>
    <w:rsid w:val="00E02472"/>
    <w:rsid w:val="00E06276"/>
    <w:rsid w:val="00E07874"/>
    <w:rsid w:val="00E11231"/>
    <w:rsid w:val="00E354EF"/>
    <w:rsid w:val="00E65208"/>
    <w:rsid w:val="00E85698"/>
    <w:rsid w:val="00EA0EBA"/>
    <w:rsid w:val="00EA16D3"/>
    <w:rsid w:val="00EE6B71"/>
    <w:rsid w:val="00EF0553"/>
    <w:rsid w:val="00EF36BA"/>
    <w:rsid w:val="00EF489A"/>
    <w:rsid w:val="00EF4DA9"/>
    <w:rsid w:val="00F00673"/>
    <w:rsid w:val="00F30FC2"/>
    <w:rsid w:val="00F31FAF"/>
    <w:rsid w:val="00F333F8"/>
    <w:rsid w:val="00F42199"/>
    <w:rsid w:val="00F4496A"/>
    <w:rsid w:val="00F45A53"/>
    <w:rsid w:val="00F5431E"/>
    <w:rsid w:val="00F56AA7"/>
    <w:rsid w:val="00F757DA"/>
    <w:rsid w:val="00F77D66"/>
    <w:rsid w:val="00FA6E88"/>
    <w:rsid w:val="00FB6A8B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051F"/>
  <w15:chartTrackingRefBased/>
  <w15:docId w15:val="{31E7AF93-CEAE-40EA-8C01-DC660E19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DA9"/>
    <w:pPr>
      <w:spacing w:after="0" w:line="240" w:lineRule="auto"/>
      <w:outlineLvl w:val="0"/>
    </w:pPr>
    <w:rPr>
      <w:rFonts w:ascii="Arial" w:eastAsia="Times New Roman" w:hAnsi="Arial" w:cs="Arial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4DA9"/>
    <w:pPr>
      <w:outlineLvl w:val="1"/>
    </w:pPr>
    <w:rPr>
      <w:sz w:val="22"/>
      <w:szCs w:val="20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6183D"/>
    <w:pPr>
      <w:outlineLvl w:val="2"/>
    </w:pPr>
    <w:rPr>
      <w:i/>
      <w:color w:val="6F2B9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A9"/>
  </w:style>
  <w:style w:type="paragraph" w:styleId="Footer">
    <w:name w:val="footer"/>
    <w:basedOn w:val="Normal"/>
    <w:link w:val="FooterChar"/>
    <w:uiPriority w:val="99"/>
    <w:unhideWhenUsed/>
    <w:rsid w:val="00EF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A9"/>
  </w:style>
  <w:style w:type="character" w:customStyle="1" w:styleId="Heading1Char">
    <w:name w:val="Heading 1 Char"/>
    <w:basedOn w:val="DefaultParagraphFont"/>
    <w:link w:val="Heading1"/>
    <w:uiPriority w:val="9"/>
    <w:rsid w:val="00EF4DA9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4DA9"/>
    <w:rPr>
      <w:rFonts w:ascii="Arial" w:eastAsia="Times New Roman" w:hAnsi="Arial" w:cs="Arial"/>
      <w:b/>
      <w:szCs w:val="20"/>
    </w:rPr>
  </w:style>
  <w:style w:type="paragraph" w:styleId="NoSpacing">
    <w:name w:val="No Spacing"/>
    <w:uiPriority w:val="1"/>
    <w:qFormat/>
    <w:rsid w:val="00EF4DA9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E58DA"/>
    <w:rPr>
      <w:color w:val="954F7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8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3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4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6183D"/>
    <w:rPr>
      <w:rFonts w:ascii="Arial" w:hAnsi="Arial" w:cs="Arial"/>
      <w:i/>
      <w:color w:val="6F2B90" w:themeColor="text2"/>
    </w:rPr>
  </w:style>
  <w:style w:type="paragraph" w:styleId="ListParagraph">
    <w:name w:val="List Paragraph"/>
    <w:basedOn w:val="Normal"/>
    <w:uiPriority w:val="34"/>
    <w:qFormat/>
    <w:rsid w:val="00C5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p96472hb\Dropbox%20(The%20University%20of%20Manchester)\RWM%20URSO%20Internal\Projects\DNLEU%20PhD%20call%20March%202021\RWM_template_grant_agreement_DNLEU_v1.0.doc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rso-gdf@manch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SO">
  <a:themeElements>
    <a:clrScheme name="RSO">
      <a:dk1>
        <a:sysClr val="windowText" lastClr="000000"/>
      </a:dk1>
      <a:lt1>
        <a:sysClr val="window" lastClr="FFFFFF"/>
      </a:lt1>
      <a:dk2>
        <a:srgbClr val="6F2B90"/>
      </a:dk2>
      <a:lt2>
        <a:srgbClr val="FFFFFF"/>
      </a:lt2>
      <a:accent1>
        <a:srgbClr val="6F2B90"/>
      </a:accent1>
      <a:accent2>
        <a:srgbClr val="70BF4E"/>
      </a:accent2>
      <a:accent3>
        <a:srgbClr val="00B0F0"/>
      </a:accent3>
      <a:accent4>
        <a:srgbClr val="B8B5D5"/>
      </a:accent4>
      <a:accent5>
        <a:srgbClr val="E7F1D5"/>
      </a:accent5>
      <a:accent6>
        <a:srgbClr val="B8F1FF"/>
      </a:accent6>
      <a:hlink>
        <a:srgbClr val="954F72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4E62-3C44-4749-8123-E8794637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Helen Bayram</cp:lastModifiedBy>
  <cp:revision>3</cp:revision>
  <dcterms:created xsi:type="dcterms:W3CDTF">2021-05-11T11:35:00Z</dcterms:created>
  <dcterms:modified xsi:type="dcterms:W3CDTF">2021-05-11T11:36:00Z</dcterms:modified>
</cp:coreProperties>
</file>