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82"/>
        <w:gridCol w:w="8566"/>
      </w:tblGrid>
      <w:tr w:rsidR="002B6451" w:rsidRPr="0004601D" w14:paraId="0BE48ADC" w14:textId="77777777" w:rsidTr="007B3ECF">
        <w:tc>
          <w:tcPr>
            <w:tcW w:w="5382" w:type="dxa"/>
          </w:tcPr>
          <w:p w14:paraId="01E9E46D" w14:textId="00E38AE9" w:rsidR="002B6451" w:rsidRPr="0004601D" w:rsidRDefault="002B6451" w:rsidP="00DA0D55">
            <w:pPr>
              <w:rPr>
                <w:rFonts w:ascii="Arial" w:hAnsi="Arial" w:cs="Arial"/>
              </w:rPr>
            </w:pPr>
            <w:r w:rsidRPr="0004601D">
              <w:rPr>
                <w:rFonts w:ascii="Arial" w:hAnsi="Arial" w:cs="Arial"/>
              </w:rPr>
              <w:t xml:space="preserve">RWM Tender Ref: </w:t>
            </w:r>
            <w:r w:rsidR="007D18EB" w:rsidRPr="0004601D">
              <w:rPr>
                <w:rFonts w:ascii="Arial" w:hAnsi="Arial" w:cs="Arial"/>
              </w:rPr>
              <w:t>RWM504 RWM505</w:t>
            </w:r>
          </w:p>
        </w:tc>
        <w:tc>
          <w:tcPr>
            <w:tcW w:w="8566" w:type="dxa"/>
          </w:tcPr>
          <w:p w14:paraId="1DB596D3" w14:textId="77777777" w:rsidR="00AE4F79" w:rsidRPr="0004601D" w:rsidRDefault="002B6451" w:rsidP="00DA0D55">
            <w:pPr>
              <w:rPr>
                <w:rFonts w:ascii="Arial" w:hAnsi="Arial" w:cs="Arial"/>
              </w:rPr>
            </w:pPr>
            <w:r w:rsidRPr="0004601D">
              <w:rPr>
                <w:rFonts w:ascii="Arial" w:hAnsi="Arial" w:cs="Arial"/>
              </w:rPr>
              <w:t>Tender Title:</w:t>
            </w:r>
            <w:r w:rsidR="00510D61" w:rsidRPr="0004601D">
              <w:rPr>
                <w:rFonts w:ascii="Arial" w:hAnsi="Arial" w:cs="Arial"/>
              </w:rPr>
              <w:t xml:space="preserve"> </w:t>
            </w:r>
          </w:p>
          <w:p w14:paraId="40542C82" w14:textId="5A67D526" w:rsidR="007B3ECF" w:rsidRPr="0004601D" w:rsidRDefault="00510D61" w:rsidP="00DA0D55">
            <w:pPr>
              <w:rPr>
                <w:rFonts w:ascii="Arial" w:hAnsi="Arial" w:cs="Arial"/>
              </w:rPr>
            </w:pPr>
            <w:r w:rsidRPr="0004601D">
              <w:rPr>
                <w:rFonts w:ascii="Arial" w:hAnsi="Arial" w:cs="Arial"/>
              </w:rPr>
              <w:t>RWM</w:t>
            </w:r>
            <w:r w:rsidR="007B3ECF" w:rsidRPr="0004601D">
              <w:rPr>
                <w:rFonts w:ascii="Arial" w:hAnsi="Arial" w:cs="Arial"/>
              </w:rPr>
              <w:t>504 Understanding the Long-Term Behaviour of Alternative Backfill for DNLEU Disposal – Cement Focused PhD Grant</w:t>
            </w:r>
          </w:p>
          <w:p w14:paraId="2E9BC124" w14:textId="36346CF0" w:rsidR="007B3ECF" w:rsidRPr="0004601D" w:rsidRDefault="007B3ECF" w:rsidP="00DA0D55">
            <w:pPr>
              <w:rPr>
                <w:rFonts w:ascii="Arial" w:hAnsi="Arial" w:cs="Arial"/>
              </w:rPr>
            </w:pPr>
          </w:p>
          <w:p w14:paraId="14440A1B" w14:textId="6F1D960C" w:rsidR="007B3ECF" w:rsidRPr="0004601D" w:rsidRDefault="007B3ECF" w:rsidP="00DA0D55">
            <w:pPr>
              <w:rPr>
                <w:rFonts w:ascii="Arial" w:hAnsi="Arial" w:cs="Arial"/>
              </w:rPr>
            </w:pPr>
            <w:r w:rsidRPr="0004601D">
              <w:rPr>
                <w:rFonts w:ascii="Arial" w:hAnsi="Arial" w:cs="Arial"/>
              </w:rPr>
              <w:t>RWM50</w:t>
            </w:r>
            <w:r w:rsidR="00AE4F79" w:rsidRPr="0004601D">
              <w:rPr>
                <w:rFonts w:ascii="Arial" w:hAnsi="Arial" w:cs="Arial"/>
              </w:rPr>
              <w:t>5</w:t>
            </w:r>
            <w:r w:rsidRPr="0004601D">
              <w:rPr>
                <w:rFonts w:ascii="Arial" w:hAnsi="Arial" w:cs="Arial"/>
              </w:rPr>
              <w:t xml:space="preserve"> Understanding the Long-Term Behaviour of Alternative Backfill for DNLEU Disposal – Radionuclide Focused PhD Grant</w:t>
            </w:r>
          </w:p>
          <w:p w14:paraId="04ECCF97" w14:textId="5BB816EB" w:rsidR="002B6451" w:rsidRPr="0004601D" w:rsidRDefault="002B6451" w:rsidP="00DA0D55">
            <w:pPr>
              <w:rPr>
                <w:rFonts w:ascii="Arial" w:hAnsi="Arial" w:cs="Arial"/>
              </w:rPr>
            </w:pPr>
          </w:p>
        </w:tc>
      </w:tr>
      <w:tr w:rsidR="0007020A" w:rsidRPr="0004601D" w14:paraId="6E1830FF" w14:textId="77777777" w:rsidTr="007B3ECF">
        <w:tc>
          <w:tcPr>
            <w:tcW w:w="5382" w:type="dxa"/>
          </w:tcPr>
          <w:p w14:paraId="59AFCA77" w14:textId="0E4C17B9" w:rsidR="0007020A" w:rsidRPr="0004601D" w:rsidRDefault="0007020A" w:rsidP="00DA0D55">
            <w:pPr>
              <w:rPr>
                <w:rFonts w:ascii="Arial" w:hAnsi="Arial" w:cs="Arial"/>
              </w:rPr>
            </w:pPr>
            <w:r w:rsidRPr="0004601D">
              <w:rPr>
                <w:rFonts w:ascii="Arial" w:hAnsi="Arial" w:cs="Arial"/>
              </w:rPr>
              <w:t>RWM Customer:</w:t>
            </w:r>
            <w:r w:rsidR="00510D61" w:rsidRPr="0004601D">
              <w:rPr>
                <w:rFonts w:ascii="Arial" w:hAnsi="Arial" w:cs="Arial"/>
              </w:rPr>
              <w:t xml:space="preserve">  </w:t>
            </w:r>
            <w:r w:rsidR="007D18EB" w:rsidRPr="0004601D">
              <w:rPr>
                <w:rFonts w:ascii="Arial" w:hAnsi="Arial" w:cs="Arial"/>
              </w:rPr>
              <w:t xml:space="preserve">Neda </w:t>
            </w:r>
            <w:proofErr w:type="spellStart"/>
            <w:r w:rsidR="007D18EB" w:rsidRPr="0004601D">
              <w:rPr>
                <w:rFonts w:ascii="Arial" w:hAnsi="Arial" w:cs="Arial"/>
              </w:rPr>
              <w:t>Mobasha</w:t>
            </w:r>
            <w:proofErr w:type="spellEnd"/>
          </w:p>
        </w:tc>
        <w:tc>
          <w:tcPr>
            <w:tcW w:w="8566" w:type="dxa"/>
          </w:tcPr>
          <w:p w14:paraId="47F71CC9" w14:textId="385F587A" w:rsidR="0007020A" w:rsidRPr="0004601D" w:rsidRDefault="0007020A" w:rsidP="00DA0D55">
            <w:pPr>
              <w:rPr>
                <w:rFonts w:ascii="Arial" w:hAnsi="Arial" w:cs="Arial"/>
              </w:rPr>
            </w:pPr>
            <w:r w:rsidRPr="0004601D">
              <w:rPr>
                <w:rFonts w:ascii="Arial" w:hAnsi="Arial" w:cs="Arial"/>
              </w:rPr>
              <w:t>Procurement Lead:</w:t>
            </w:r>
            <w:r w:rsidR="00510D61" w:rsidRPr="0004601D">
              <w:rPr>
                <w:rFonts w:ascii="Arial" w:hAnsi="Arial" w:cs="Arial"/>
              </w:rPr>
              <w:t xml:space="preserve"> </w:t>
            </w:r>
            <w:r w:rsidR="007D18EB" w:rsidRPr="0004601D">
              <w:rPr>
                <w:rFonts w:ascii="Arial" w:hAnsi="Arial" w:cs="Arial"/>
              </w:rPr>
              <w:t>Shana Wood</w:t>
            </w:r>
          </w:p>
        </w:tc>
      </w:tr>
    </w:tbl>
    <w:p w14:paraId="311C88A5" w14:textId="77777777" w:rsidR="00445C80" w:rsidRPr="0004601D" w:rsidRDefault="00445C80" w:rsidP="00DA0D55">
      <w:pPr>
        <w:rPr>
          <w:rFonts w:ascii="Arial" w:hAnsi="Arial" w:cs="Arial"/>
        </w:rPr>
      </w:pPr>
    </w:p>
    <w:p w14:paraId="2EB2EBE6" w14:textId="77777777" w:rsidR="00DA0D55" w:rsidRPr="0004601D" w:rsidRDefault="00DA0D55">
      <w:pPr>
        <w:rPr>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969"/>
        <w:gridCol w:w="6395"/>
        <w:gridCol w:w="1412"/>
        <w:gridCol w:w="1458"/>
      </w:tblGrid>
      <w:tr w:rsidR="00E0472A" w:rsidRPr="0004601D" w14:paraId="6998FE08" w14:textId="77777777" w:rsidTr="00DB61D5">
        <w:tc>
          <w:tcPr>
            <w:tcW w:w="694" w:type="dxa"/>
          </w:tcPr>
          <w:p w14:paraId="211094BF" w14:textId="77777777" w:rsidR="00DA0D55" w:rsidRPr="0004601D" w:rsidRDefault="00DA0D55" w:rsidP="00DA0D55">
            <w:pPr>
              <w:jc w:val="center"/>
              <w:rPr>
                <w:rFonts w:ascii="Arial" w:hAnsi="Arial" w:cs="Arial"/>
                <w:b/>
              </w:rPr>
            </w:pPr>
            <w:r w:rsidRPr="0004601D">
              <w:rPr>
                <w:rFonts w:ascii="Arial" w:hAnsi="Arial" w:cs="Arial"/>
                <w:b/>
              </w:rPr>
              <w:t>Ref No</w:t>
            </w:r>
          </w:p>
        </w:tc>
        <w:tc>
          <w:tcPr>
            <w:tcW w:w="3969" w:type="dxa"/>
          </w:tcPr>
          <w:p w14:paraId="14273416" w14:textId="77777777" w:rsidR="00DA0D55" w:rsidRPr="0004601D" w:rsidRDefault="00DA0D55" w:rsidP="003E4AFE">
            <w:pPr>
              <w:jc w:val="center"/>
              <w:rPr>
                <w:rFonts w:ascii="Arial" w:hAnsi="Arial" w:cs="Arial"/>
                <w:b/>
              </w:rPr>
            </w:pPr>
            <w:r w:rsidRPr="0004601D">
              <w:rPr>
                <w:rFonts w:ascii="Arial" w:hAnsi="Arial" w:cs="Arial"/>
                <w:b/>
              </w:rPr>
              <w:t>Clarification Question</w:t>
            </w:r>
          </w:p>
        </w:tc>
        <w:tc>
          <w:tcPr>
            <w:tcW w:w="6395" w:type="dxa"/>
          </w:tcPr>
          <w:p w14:paraId="3F05FB85" w14:textId="77777777" w:rsidR="00DA0D55" w:rsidRPr="0004601D" w:rsidRDefault="00DA0D55" w:rsidP="00DA0D55">
            <w:pPr>
              <w:jc w:val="center"/>
              <w:rPr>
                <w:rFonts w:ascii="Arial" w:hAnsi="Arial" w:cs="Arial"/>
                <w:b/>
              </w:rPr>
            </w:pPr>
            <w:r w:rsidRPr="0004601D">
              <w:rPr>
                <w:rFonts w:ascii="Arial" w:hAnsi="Arial" w:cs="Arial"/>
                <w:b/>
              </w:rPr>
              <w:t>RWM Response</w:t>
            </w:r>
          </w:p>
        </w:tc>
        <w:tc>
          <w:tcPr>
            <w:tcW w:w="1412" w:type="dxa"/>
          </w:tcPr>
          <w:p w14:paraId="638EFAC0" w14:textId="77777777" w:rsidR="00DA0D55" w:rsidRPr="0004601D" w:rsidRDefault="00DA0D55" w:rsidP="00DA0D55">
            <w:pPr>
              <w:jc w:val="center"/>
              <w:rPr>
                <w:rFonts w:ascii="Arial" w:hAnsi="Arial" w:cs="Arial"/>
                <w:b/>
              </w:rPr>
            </w:pPr>
            <w:r w:rsidRPr="0004601D">
              <w:rPr>
                <w:rFonts w:ascii="Arial" w:hAnsi="Arial" w:cs="Arial"/>
                <w:b/>
              </w:rPr>
              <w:t>Date of Question</w:t>
            </w:r>
          </w:p>
        </w:tc>
        <w:tc>
          <w:tcPr>
            <w:tcW w:w="1458" w:type="dxa"/>
          </w:tcPr>
          <w:p w14:paraId="7F3684FE" w14:textId="77777777" w:rsidR="00DA0D55" w:rsidRPr="0004601D" w:rsidRDefault="00DA0D55" w:rsidP="00DA0D55">
            <w:pPr>
              <w:jc w:val="center"/>
              <w:rPr>
                <w:rFonts w:ascii="Arial" w:hAnsi="Arial" w:cs="Arial"/>
                <w:b/>
              </w:rPr>
            </w:pPr>
            <w:r w:rsidRPr="0004601D">
              <w:rPr>
                <w:rFonts w:ascii="Arial" w:hAnsi="Arial" w:cs="Arial"/>
                <w:b/>
              </w:rPr>
              <w:t>Response Date</w:t>
            </w:r>
          </w:p>
        </w:tc>
      </w:tr>
      <w:tr w:rsidR="00E0472A" w:rsidRPr="0004601D" w14:paraId="46B2BA0D" w14:textId="77777777" w:rsidTr="00DB61D5">
        <w:tc>
          <w:tcPr>
            <w:tcW w:w="694" w:type="dxa"/>
          </w:tcPr>
          <w:p w14:paraId="2D565931" w14:textId="77777777" w:rsidR="00DA0D55" w:rsidRPr="0004601D" w:rsidRDefault="003E4AFE" w:rsidP="00DA0D55">
            <w:pPr>
              <w:jc w:val="center"/>
              <w:rPr>
                <w:rFonts w:ascii="Arial" w:hAnsi="Arial" w:cs="Arial"/>
              </w:rPr>
            </w:pPr>
            <w:r w:rsidRPr="0004601D">
              <w:rPr>
                <w:rFonts w:ascii="Arial" w:hAnsi="Arial" w:cs="Arial"/>
              </w:rPr>
              <w:t>Q1</w:t>
            </w:r>
          </w:p>
        </w:tc>
        <w:tc>
          <w:tcPr>
            <w:tcW w:w="3969" w:type="dxa"/>
          </w:tcPr>
          <w:p w14:paraId="2CDB1A70" w14:textId="3FD5A7F6" w:rsidR="0007020A" w:rsidRPr="0004601D" w:rsidRDefault="007D18EB" w:rsidP="00BA7F4B">
            <w:pPr>
              <w:rPr>
                <w:rFonts w:ascii="Arial" w:hAnsi="Arial" w:cs="Arial"/>
              </w:rPr>
            </w:pPr>
            <w:r w:rsidRPr="0004601D">
              <w:rPr>
                <w:rFonts w:ascii="Arial" w:eastAsia="Times New Roman" w:hAnsi="Arial" w:cs="Arial"/>
              </w:rPr>
              <w:t xml:space="preserve">The call states that RWM is looking to start these projects in October 2021. Is there flexibility to start a year later (October 2022)? </w:t>
            </w:r>
          </w:p>
        </w:tc>
        <w:tc>
          <w:tcPr>
            <w:tcW w:w="6395" w:type="dxa"/>
          </w:tcPr>
          <w:p w14:paraId="5C8A7049" w14:textId="6449A360" w:rsidR="007D18EB" w:rsidRPr="0004601D" w:rsidRDefault="007D18EB" w:rsidP="00901CC2">
            <w:pPr>
              <w:rPr>
                <w:rFonts w:ascii="Arial" w:eastAsia="Times New Roman" w:hAnsi="Arial" w:cs="Arial"/>
              </w:rPr>
            </w:pPr>
            <w:r w:rsidRPr="0004601D">
              <w:rPr>
                <w:rFonts w:ascii="Arial" w:eastAsia="Times New Roman" w:hAnsi="Arial" w:cs="Arial"/>
              </w:rPr>
              <w:t xml:space="preserve">We can offer some flexibility around time of the start (2-3 months) but I am not really sure about next year. There is an allocation of budget for this project in this financial year and management can decide for a move to next year. You can mention </w:t>
            </w:r>
            <w:r w:rsidR="000C094F" w:rsidRPr="0004601D">
              <w:rPr>
                <w:rFonts w:ascii="Arial" w:eastAsia="Times New Roman" w:hAnsi="Arial" w:cs="Arial"/>
              </w:rPr>
              <w:t>any</w:t>
            </w:r>
            <w:r w:rsidRPr="0004601D">
              <w:rPr>
                <w:rFonts w:ascii="Arial" w:eastAsia="Times New Roman" w:hAnsi="Arial" w:cs="Arial"/>
              </w:rPr>
              <w:t xml:space="preserve"> issue</w:t>
            </w:r>
            <w:r w:rsidR="000C094F" w:rsidRPr="0004601D">
              <w:rPr>
                <w:rFonts w:ascii="Arial" w:eastAsia="Times New Roman" w:hAnsi="Arial" w:cs="Arial"/>
              </w:rPr>
              <w:t>s</w:t>
            </w:r>
            <w:r w:rsidRPr="0004601D">
              <w:rPr>
                <w:rFonts w:ascii="Arial" w:eastAsia="Times New Roman" w:hAnsi="Arial" w:cs="Arial"/>
              </w:rPr>
              <w:t xml:space="preserve"> in your proposal if you wish and then team will decide, if the proposal is accepted they might agree with a later start. </w:t>
            </w:r>
          </w:p>
          <w:p w14:paraId="460287FF" w14:textId="77777777" w:rsidR="007D18EB" w:rsidRPr="0004601D" w:rsidRDefault="007D18EB" w:rsidP="007D18EB">
            <w:pPr>
              <w:pStyle w:val="ListParagraph"/>
              <w:rPr>
                <w:rFonts w:ascii="Arial" w:hAnsi="Arial" w:cs="Arial"/>
              </w:rPr>
            </w:pPr>
          </w:p>
          <w:p w14:paraId="6A28158E" w14:textId="77777777" w:rsidR="007D18EB" w:rsidRPr="0004601D" w:rsidRDefault="007D18EB" w:rsidP="00901CC2">
            <w:pPr>
              <w:rPr>
                <w:rFonts w:ascii="Arial" w:hAnsi="Arial" w:cs="Arial"/>
              </w:rPr>
            </w:pPr>
            <w:r w:rsidRPr="0004601D">
              <w:rPr>
                <w:rFonts w:ascii="Arial" w:hAnsi="Arial" w:cs="Arial"/>
              </w:rPr>
              <w:t xml:space="preserve">I wanted to mention that DNLEU backfill topic is just launching now and this a big research area of interest for RWM. We have RSO PhD calls around Nov 2021 and you can submit your proposals (open topic or from the selected topics) for a start in Sept 2022 and this topic and cement backfill are still of main interest for RWM. </w:t>
            </w:r>
          </w:p>
          <w:p w14:paraId="6C9202C4" w14:textId="77777777" w:rsidR="00FB1C60" w:rsidRPr="0004601D" w:rsidRDefault="00FB1C60" w:rsidP="00280EEE">
            <w:pPr>
              <w:pStyle w:val="PlainText"/>
              <w:rPr>
                <w:rFonts w:ascii="Arial" w:hAnsi="Arial" w:cs="Arial"/>
              </w:rPr>
            </w:pPr>
          </w:p>
        </w:tc>
        <w:tc>
          <w:tcPr>
            <w:tcW w:w="1412" w:type="dxa"/>
          </w:tcPr>
          <w:p w14:paraId="38810F5E" w14:textId="12EAB713" w:rsidR="00DA0D55" w:rsidRPr="0004601D" w:rsidRDefault="007D18EB" w:rsidP="00F174DF">
            <w:pPr>
              <w:jc w:val="center"/>
              <w:rPr>
                <w:rFonts w:ascii="Arial" w:hAnsi="Arial" w:cs="Arial"/>
              </w:rPr>
            </w:pPr>
            <w:r w:rsidRPr="0004601D">
              <w:rPr>
                <w:rFonts w:ascii="Arial" w:hAnsi="Arial" w:cs="Arial"/>
              </w:rPr>
              <w:t>3/05/2021 8:2</w:t>
            </w:r>
            <w:r w:rsidR="00E83233" w:rsidRPr="0004601D">
              <w:rPr>
                <w:rFonts w:ascii="Arial" w:hAnsi="Arial" w:cs="Arial"/>
              </w:rPr>
              <w:t>3</w:t>
            </w:r>
          </w:p>
        </w:tc>
        <w:tc>
          <w:tcPr>
            <w:tcW w:w="1458" w:type="dxa"/>
          </w:tcPr>
          <w:p w14:paraId="0ACE63DF" w14:textId="23155797" w:rsidR="00DA0D55" w:rsidRPr="0004601D" w:rsidRDefault="00E17D5C" w:rsidP="00F174DF">
            <w:pPr>
              <w:jc w:val="center"/>
              <w:rPr>
                <w:rFonts w:ascii="Arial" w:hAnsi="Arial" w:cs="Arial"/>
              </w:rPr>
            </w:pPr>
            <w:r w:rsidRPr="0004601D">
              <w:rPr>
                <w:rFonts w:ascii="Arial" w:hAnsi="Arial" w:cs="Arial"/>
              </w:rPr>
              <w:t xml:space="preserve">03/05/2021 </w:t>
            </w:r>
            <w:r w:rsidR="00E83233" w:rsidRPr="0004601D">
              <w:rPr>
                <w:rFonts w:ascii="Arial" w:hAnsi="Arial" w:cs="Arial"/>
              </w:rPr>
              <w:t>15:04</w:t>
            </w:r>
          </w:p>
          <w:p w14:paraId="4A374DDB" w14:textId="6BE6A82B" w:rsidR="00280EEE" w:rsidRPr="0004601D" w:rsidRDefault="00280EEE" w:rsidP="00F174DF">
            <w:pPr>
              <w:jc w:val="center"/>
              <w:rPr>
                <w:rFonts w:ascii="Arial" w:hAnsi="Arial" w:cs="Arial"/>
              </w:rPr>
            </w:pPr>
          </w:p>
        </w:tc>
      </w:tr>
      <w:tr w:rsidR="00E83233" w:rsidRPr="0004601D" w14:paraId="5C42E2D8" w14:textId="77777777" w:rsidTr="00DB61D5">
        <w:tc>
          <w:tcPr>
            <w:tcW w:w="694" w:type="dxa"/>
          </w:tcPr>
          <w:p w14:paraId="5198695A" w14:textId="77777777" w:rsidR="00E83233" w:rsidRPr="0004601D" w:rsidRDefault="00E83233" w:rsidP="00E83233">
            <w:pPr>
              <w:jc w:val="center"/>
              <w:rPr>
                <w:rFonts w:ascii="Arial" w:hAnsi="Arial" w:cs="Arial"/>
              </w:rPr>
            </w:pPr>
            <w:r w:rsidRPr="0004601D">
              <w:rPr>
                <w:rFonts w:ascii="Arial" w:hAnsi="Arial" w:cs="Arial"/>
              </w:rPr>
              <w:t>Q2</w:t>
            </w:r>
          </w:p>
        </w:tc>
        <w:tc>
          <w:tcPr>
            <w:tcW w:w="3969" w:type="dxa"/>
          </w:tcPr>
          <w:p w14:paraId="17E6BD15" w14:textId="77777777" w:rsidR="00E83233" w:rsidRPr="0004601D" w:rsidRDefault="00E83233" w:rsidP="00901CC2">
            <w:pPr>
              <w:rPr>
                <w:rFonts w:ascii="Arial" w:eastAsia="Times New Roman" w:hAnsi="Arial" w:cs="Arial"/>
              </w:rPr>
            </w:pPr>
            <w:r w:rsidRPr="0004601D">
              <w:rPr>
                <w:rFonts w:ascii="Arial" w:eastAsia="Times New Roman" w:hAnsi="Arial" w:cs="Arial"/>
              </w:rPr>
              <w:t xml:space="preserve">The call refers to “phosphate-based cement” – presumably RWM is most interested in the performance of magnesium potassium phosphate cement. In addition to MKPC, we would like to include other potential </w:t>
            </w:r>
            <w:r w:rsidRPr="0004601D">
              <w:rPr>
                <w:rFonts w:ascii="Arial" w:eastAsia="Times New Roman" w:hAnsi="Arial" w:cs="Arial"/>
              </w:rPr>
              <w:lastRenderedPageBreak/>
              <w:t>phosphate-based cements in our bid. Would this be of interest to RWM?   </w:t>
            </w:r>
          </w:p>
          <w:p w14:paraId="624BCA3F" w14:textId="77777777" w:rsidR="00E83233" w:rsidRPr="0004601D" w:rsidRDefault="00E83233" w:rsidP="00E83233">
            <w:pPr>
              <w:rPr>
                <w:rFonts w:ascii="Arial" w:hAnsi="Arial" w:cs="Arial"/>
              </w:rPr>
            </w:pPr>
          </w:p>
          <w:p w14:paraId="6AE4260F" w14:textId="77777777" w:rsidR="00E83233" w:rsidRPr="0004601D" w:rsidRDefault="00E83233" w:rsidP="00E83233">
            <w:pPr>
              <w:rPr>
                <w:rFonts w:ascii="Arial" w:hAnsi="Arial" w:cs="Arial"/>
              </w:rPr>
            </w:pPr>
          </w:p>
          <w:p w14:paraId="5F0E795C" w14:textId="464547E6" w:rsidR="00E83233" w:rsidRPr="0004601D" w:rsidRDefault="00E83233" w:rsidP="00E83233">
            <w:pPr>
              <w:rPr>
                <w:rFonts w:ascii="Arial" w:hAnsi="Arial" w:cs="Arial"/>
              </w:rPr>
            </w:pPr>
          </w:p>
        </w:tc>
        <w:tc>
          <w:tcPr>
            <w:tcW w:w="6395" w:type="dxa"/>
          </w:tcPr>
          <w:p w14:paraId="75C8D729" w14:textId="77777777" w:rsidR="00E83233" w:rsidRPr="0004601D" w:rsidRDefault="00E83233" w:rsidP="00901CC2">
            <w:pPr>
              <w:rPr>
                <w:rFonts w:ascii="Arial" w:eastAsia="Times New Roman" w:hAnsi="Arial" w:cs="Arial"/>
              </w:rPr>
            </w:pPr>
            <w:r w:rsidRPr="0004601D">
              <w:rPr>
                <w:rFonts w:ascii="Arial" w:eastAsia="Times New Roman" w:hAnsi="Arial" w:cs="Arial"/>
              </w:rPr>
              <w:lastRenderedPageBreak/>
              <w:t xml:space="preserve">On the phosphate cement, we are starting from blank sheet of paper. This is a start for this type of cement in RWM and we are interested to gain knowledge not only on MKPC but also other potential phosphate-based cements. I think it is valuable to have an envelope of all potential phosphate cements and </w:t>
            </w:r>
            <w:r w:rsidRPr="0004601D">
              <w:rPr>
                <w:rFonts w:ascii="Arial" w:eastAsia="Times New Roman" w:hAnsi="Arial" w:cs="Arial"/>
              </w:rPr>
              <w:lastRenderedPageBreak/>
              <w:t xml:space="preserve">investigate which one(s) can be most suitable and effective as a backfill for DNLEU. </w:t>
            </w:r>
          </w:p>
          <w:p w14:paraId="3630DE8E" w14:textId="77777777" w:rsidR="00E83233" w:rsidRPr="0004601D" w:rsidRDefault="00E83233" w:rsidP="00E83233">
            <w:pPr>
              <w:rPr>
                <w:rFonts w:ascii="Arial" w:hAnsi="Arial" w:cs="Arial"/>
              </w:rPr>
            </w:pPr>
          </w:p>
          <w:p w14:paraId="4952AC31" w14:textId="1DA3F669" w:rsidR="00E83233" w:rsidRPr="0004601D" w:rsidRDefault="00E83233" w:rsidP="00E83233">
            <w:pPr>
              <w:rPr>
                <w:rFonts w:ascii="Arial" w:hAnsi="Arial" w:cs="Arial"/>
              </w:rPr>
            </w:pPr>
          </w:p>
        </w:tc>
        <w:tc>
          <w:tcPr>
            <w:tcW w:w="1412" w:type="dxa"/>
          </w:tcPr>
          <w:p w14:paraId="03A4B19D" w14:textId="6EAB5B84" w:rsidR="00E83233" w:rsidRPr="0004601D" w:rsidRDefault="00E83233" w:rsidP="00E83233">
            <w:pPr>
              <w:jc w:val="center"/>
              <w:rPr>
                <w:rFonts w:ascii="Arial" w:hAnsi="Arial" w:cs="Arial"/>
              </w:rPr>
            </w:pPr>
            <w:r w:rsidRPr="0004601D">
              <w:rPr>
                <w:rFonts w:ascii="Arial" w:hAnsi="Arial" w:cs="Arial"/>
              </w:rPr>
              <w:lastRenderedPageBreak/>
              <w:t>3/05/2021 8:23</w:t>
            </w:r>
          </w:p>
        </w:tc>
        <w:tc>
          <w:tcPr>
            <w:tcW w:w="1458" w:type="dxa"/>
          </w:tcPr>
          <w:p w14:paraId="38B10273" w14:textId="77777777" w:rsidR="00E83233" w:rsidRPr="0004601D" w:rsidRDefault="00E83233" w:rsidP="00E83233">
            <w:pPr>
              <w:jc w:val="center"/>
              <w:rPr>
                <w:rFonts w:ascii="Arial" w:hAnsi="Arial" w:cs="Arial"/>
              </w:rPr>
            </w:pPr>
            <w:r w:rsidRPr="0004601D">
              <w:rPr>
                <w:rFonts w:ascii="Arial" w:hAnsi="Arial" w:cs="Arial"/>
              </w:rPr>
              <w:t>03/05/2021 15:04</w:t>
            </w:r>
          </w:p>
          <w:p w14:paraId="603E9765" w14:textId="48BEDD01" w:rsidR="00E83233" w:rsidRPr="0004601D" w:rsidRDefault="00E83233" w:rsidP="00E83233">
            <w:pPr>
              <w:jc w:val="center"/>
              <w:rPr>
                <w:rFonts w:ascii="Arial" w:hAnsi="Arial" w:cs="Arial"/>
              </w:rPr>
            </w:pPr>
          </w:p>
        </w:tc>
      </w:tr>
      <w:tr w:rsidR="00E83233" w:rsidRPr="0004601D" w14:paraId="705DEBD9" w14:textId="77777777" w:rsidTr="00DB61D5">
        <w:tc>
          <w:tcPr>
            <w:tcW w:w="694" w:type="dxa"/>
          </w:tcPr>
          <w:p w14:paraId="0D055A8E" w14:textId="77777777" w:rsidR="00E83233" w:rsidRPr="0004601D" w:rsidRDefault="00E83233" w:rsidP="00E83233">
            <w:pPr>
              <w:jc w:val="center"/>
              <w:rPr>
                <w:rFonts w:ascii="Arial" w:hAnsi="Arial" w:cs="Arial"/>
              </w:rPr>
            </w:pPr>
            <w:r w:rsidRPr="0004601D">
              <w:rPr>
                <w:rFonts w:ascii="Arial" w:hAnsi="Arial" w:cs="Arial"/>
              </w:rPr>
              <w:t>Q3</w:t>
            </w:r>
          </w:p>
        </w:tc>
        <w:tc>
          <w:tcPr>
            <w:tcW w:w="3969" w:type="dxa"/>
          </w:tcPr>
          <w:p w14:paraId="09857FD2" w14:textId="77777777" w:rsidR="00A734B5" w:rsidRPr="0004601D" w:rsidRDefault="00A734B5" w:rsidP="00A734B5">
            <w:pPr>
              <w:rPr>
                <w:rFonts w:ascii="Arial" w:hAnsi="Arial" w:cs="Arial"/>
              </w:rPr>
            </w:pPr>
            <w:r w:rsidRPr="0004601D">
              <w:rPr>
                <w:rFonts w:ascii="Arial" w:hAnsi="Arial" w:cs="Arial"/>
              </w:rPr>
              <w:t>Can you please confirm whether my understanding (#1-6) is correct or otherwise?</w:t>
            </w:r>
          </w:p>
          <w:p w14:paraId="61854F83" w14:textId="77777777" w:rsidR="00A734B5" w:rsidRPr="0004601D" w:rsidRDefault="00A734B5" w:rsidP="00A734B5">
            <w:pPr>
              <w:rPr>
                <w:rFonts w:ascii="Arial" w:hAnsi="Arial" w:cs="Arial"/>
              </w:rPr>
            </w:pPr>
          </w:p>
          <w:p w14:paraId="52484595" w14:textId="77777777"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 xml:space="preserve">The call focuses on storage of the majority DNLEU material (U3O8 and UO3), not the miscellaneous DNLEU material </w:t>
            </w:r>
          </w:p>
          <w:p w14:paraId="39A23BAC" w14:textId="462A3840"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 xml:space="preserve">The majority DNLEU material will likely be stored on its own/’as is’ in a stainless steel transport container </w:t>
            </w:r>
            <w:r w:rsidR="00573E64" w:rsidRPr="0004601D">
              <w:rPr>
                <w:rFonts w:ascii="Arial" w:eastAsia="Times New Roman" w:hAnsi="Arial" w:cs="Arial"/>
              </w:rPr>
              <w:t>meaning that</w:t>
            </w:r>
          </w:p>
          <w:p w14:paraId="1FD80775" w14:textId="77777777"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The phosphate cement that is the focus of the call scope is thus intended to be used as backfill material (in either higher strength or lower strength host rock), not as a cementitious grout in the containers</w:t>
            </w:r>
          </w:p>
          <w:p w14:paraId="3DA2E267" w14:textId="14DCED8A"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This phosphate cement would thus be an ‘exotic’ alternative to NRVB, clay backfill, etc.</w:t>
            </w:r>
          </w:p>
          <w:p w14:paraId="2CD46D86" w14:textId="77777777"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 xml:space="preserve">In general the strength of the backfill should not be high, its permeability should be low, and its chemical affinity for the </w:t>
            </w:r>
            <w:r w:rsidRPr="0004601D">
              <w:rPr>
                <w:rFonts w:ascii="Arial" w:eastAsia="Times New Roman" w:hAnsi="Arial" w:cs="Arial"/>
              </w:rPr>
              <w:lastRenderedPageBreak/>
              <w:t>radionuclides (in this case U and daughters) should be high</w:t>
            </w:r>
          </w:p>
          <w:p w14:paraId="6C7A7AEE" w14:textId="77777777" w:rsidR="00A734B5" w:rsidRPr="0004601D" w:rsidRDefault="00A734B5" w:rsidP="00A734B5">
            <w:pPr>
              <w:rPr>
                <w:rFonts w:ascii="Arial" w:hAnsi="Arial" w:cs="Arial"/>
              </w:rPr>
            </w:pPr>
          </w:p>
          <w:p w14:paraId="31CAE0B7" w14:textId="77777777" w:rsidR="00A734B5" w:rsidRPr="0004601D" w:rsidRDefault="00A734B5" w:rsidP="00A734B5">
            <w:pPr>
              <w:rPr>
                <w:rFonts w:ascii="Arial" w:hAnsi="Arial" w:cs="Arial"/>
              </w:rPr>
            </w:pPr>
            <w:r w:rsidRPr="0004601D">
              <w:rPr>
                <w:rFonts w:ascii="Arial" w:hAnsi="Arial" w:cs="Arial"/>
              </w:rPr>
              <w:t>And/or:</w:t>
            </w:r>
          </w:p>
          <w:p w14:paraId="4F1BA7D1" w14:textId="77777777" w:rsidR="00A734B5" w:rsidRPr="0004601D" w:rsidRDefault="00A734B5" w:rsidP="00A734B5">
            <w:pPr>
              <w:rPr>
                <w:rFonts w:ascii="Arial" w:hAnsi="Arial" w:cs="Arial"/>
              </w:rPr>
            </w:pPr>
          </w:p>
          <w:p w14:paraId="7301E6DF" w14:textId="77777777" w:rsidR="00A734B5" w:rsidRPr="0004601D" w:rsidRDefault="00A734B5" w:rsidP="00A734B5">
            <w:pPr>
              <w:pStyle w:val="ListParagraph"/>
              <w:numPr>
                <w:ilvl w:val="0"/>
                <w:numId w:val="5"/>
              </w:numPr>
              <w:rPr>
                <w:rFonts w:ascii="Arial" w:eastAsia="Times New Roman" w:hAnsi="Arial" w:cs="Arial"/>
              </w:rPr>
            </w:pPr>
            <w:r w:rsidRPr="0004601D">
              <w:rPr>
                <w:rFonts w:ascii="Arial" w:eastAsia="Times New Roman" w:hAnsi="Arial" w:cs="Arial"/>
              </w:rPr>
              <w:t>Does the call additionally focus on the small amount of miscellaneous DNLEU material? My reading is that this material may indeed require a cementitious grout.</w:t>
            </w:r>
          </w:p>
          <w:p w14:paraId="1344EA63" w14:textId="77777777" w:rsidR="00E83233" w:rsidRPr="0004601D" w:rsidRDefault="00E83233" w:rsidP="00E83233">
            <w:pPr>
              <w:rPr>
                <w:rFonts w:ascii="Arial" w:hAnsi="Arial" w:cs="Arial"/>
              </w:rPr>
            </w:pPr>
          </w:p>
          <w:p w14:paraId="29757385" w14:textId="5633A6A5" w:rsidR="00A734B5" w:rsidRPr="0004601D" w:rsidRDefault="00A734B5" w:rsidP="00A734B5">
            <w:pPr>
              <w:rPr>
                <w:rFonts w:ascii="Arial" w:hAnsi="Arial" w:cs="Arial"/>
              </w:rPr>
            </w:pPr>
            <w:r w:rsidRPr="0004601D">
              <w:rPr>
                <w:rFonts w:ascii="Arial" w:hAnsi="Arial" w:cs="Arial"/>
              </w:rPr>
              <w:t>I suppose that the optimal type of phosphate cement may change depending on whether it is used as a cement grout or as a backfill material. So I just wanted to clarify these points with you.</w:t>
            </w:r>
          </w:p>
          <w:p w14:paraId="216FA426" w14:textId="55E083A6" w:rsidR="00A734B5" w:rsidRPr="0004601D" w:rsidRDefault="00A734B5" w:rsidP="00E83233">
            <w:pPr>
              <w:rPr>
                <w:rFonts w:ascii="Arial" w:hAnsi="Arial" w:cs="Arial"/>
              </w:rPr>
            </w:pPr>
          </w:p>
        </w:tc>
        <w:tc>
          <w:tcPr>
            <w:tcW w:w="6395" w:type="dxa"/>
          </w:tcPr>
          <w:p w14:paraId="09CFFAED" w14:textId="7CFE4DE4" w:rsidR="00A734B5" w:rsidRPr="0004601D" w:rsidRDefault="00A734B5" w:rsidP="00A734B5">
            <w:pPr>
              <w:rPr>
                <w:rFonts w:ascii="Arial" w:hAnsi="Arial" w:cs="Arial"/>
              </w:rPr>
            </w:pPr>
            <w:r w:rsidRPr="0004601D">
              <w:rPr>
                <w:rFonts w:ascii="Arial" w:hAnsi="Arial" w:cs="Arial"/>
              </w:rPr>
              <w:lastRenderedPageBreak/>
              <w:t xml:space="preserve">Regarding your questions, I would like to clarify this project is focused on the Backfill only (as you said alternative NRVB for DNLEU area). </w:t>
            </w:r>
          </w:p>
          <w:p w14:paraId="42FF1FE9" w14:textId="77777777" w:rsidR="0012226A" w:rsidRPr="0004601D" w:rsidRDefault="0012226A" w:rsidP="00A734B5">
            <w:pPr>
              <w:rPr>
                <w:rFonts w:ascii="Arial" w:hAnsi="Arial" w:cs="Arial"/>
              </w:rPr>
            </w:pPr>
          </w:p>
          <w:p w14:paraId="0ADA078E" w14:textId="77777777" w:rsidR="00A734B5" w:rsidRPr="0004601D" w:rsidRDefault="00A734B5" w:rsidP="00A734B5">
            <w:pPr>
              <w:rPr>
                <w:rFonts w:ascii="Arial" w:hAnsi="Arial" w:cs="Arial"/>
              </w:rPr>
            </w:pPr>
            <w:r w:rsidRPr="0004601D">
              <w:rPr>
                <w:rFonts w:ascii="Arial" w:hAnsi="Arial" w:cs="Arial"/>
              </w:rPr>
              <w:t xml:space="preserve">Waste management and waste packagers are responsible for grouting some of the miscellaneous DNLEU and RWM is focused to build a GDF. </w:t>
            </w:r>
          </w:p>
          <w:p w14:paraId="69608190" w14:textId="77777777" w:rsidR="00A734B5" w:rsidRPr="0004601D" w:rsidRDefault="00A734B5" w:rsidP="00A734B5">
            <w:pPr>
              <w:rPr>
                <w:rFonts w:ascii="Arial" w:hAnsi="Arial" w:cs="Arial"/>
              </w:rPr>
            </w:pPr>
          </w:p>
          <w:p w14:paraId="36576D3F" w14:textId="77777777" w:rsidR="00A734B5" w:rsidRPr="0004601D" w:rsidRDefault="00A734B5" w:rsidP="00A734B5">
            <w:pPr>
              <w:rPr>
                <w:rFonts w:ascii="Arial" w:hAnsi="Arial" w:cs="Arial"/>
              </w:rPr>
            </w:pPr>
            <w:r w:rsidRPr="0004601D">
              <w:rPr>
                <w:rFonts w:ascii="Arial" w:hAnsi="Arial" w:cs="Arial"/>
              </w:rPr>
              <w:t>Focusing on the backfill only and also I wanted to mention that RWM has a priority to focus on Low Strength Sedimentary Rocks (LSSR) but we still need to consider High strength rocks and evaporites. These are some information you might find useful:</w:t>
            </w:r>
          </w:p>
          <w:p w14:paraId="5306CDFF" w14:textId="77777777" w:rsidR="00A734B5" w:rsidRPr="0004601D" w:rsidRDefault="00A734B5" w:rsidP="00A734B5">
            <w:pPr>
              <w:rPr>
                <w:rFonts w:ascii="Arial" w:hAnsi="Arial" w:cs="Arial"/>
              </w:rPr>
            </w:pPr>
          </w:p>
          <w:p w14:paraId="47198DBF" w14:textId="77777777" w:rsidR="00A734B5" w:rsidRPr="0004601D" w:rsidRDefault="00A734B5" w:rsidP="00A734B5">
            <w:pPr>
              <w:rPr>
                <w:rFonts w:ascii="Arial" w:hAnsi="Arial" w:cs="Arial"/>
              </w:rPr>
            </w:pPr>
            <w:r w:rsidRPr="0004601D">
              <w:rPr>
                <w:rFonts w:ascii="Arial" w:hAnsi="Arial" w:cs="Arial"/>
              </w:rPr>
              <w:t xml:space="preserve">There are some characteristics of the backfill that will apply regardless of the rock type. For example, to enable emplacement the backfill will have to be very fluid to ensure that the gaps between and around the waste packages are filled without the aid of mechanical vibration. In addition, when in place, the backfill should be sufficiently cohesive to prevent excessive bleed and settlement, again to minimize </w:t>
            </w:r>
            <w:proofErr w:type="spellStart"/>
            <w:r w:rsidRPr="0004601D">
              <w:rPr>
                <w:rFonts w:ascii="Arial" w:hAnsi="Arial" w:cs="Arial"/>
              </w:rPr>
              <w:t>voidage</w:t>
            </w:r>
            <w:proofErr w:type="spellEnd"/>
            <w:r w:rsidRPr="0004601D">
              <w:rPr>
                <w:rFonts w:ascii="Arial" w:hAnsi="Arial" w:cs="Arial"/>
              </w:rPr>
              <w:t xml:space="preserve"> in the local backfill</w:t>
            </w:r>
          </w:p>
          <w:p w14:paraId="3A5FB79F" w14:textId="77777777" w:rsidR="00A734B5" w:rsidRPr="0004601D" w:rsidRDefault="00A734B5" w:rsidP="00A734B5">
            <w:pPr>
              <w:rPr>
                <w:rFonts w:ascii="Arial" w:hAnsi="Arial" w:cs="Arial"/>
              </w:rPr>
            </w:pPr>
          </w:p>
          <w:p w14:paraId="0514236F" w14:textId="77777777" w:rsidR="00A734B5" w:rsidRPr="0004601D" w:rsidRDefault="00A734B5" w:rsidP="00A734B5">
            <w:pPr>
              <w:rPr>
                <w:rFonts w:ascii="Arial" w:hAnsi="Arial" w:cs="Arial"/>
              </w:rPr>
            </w:pPr>
          </w:p>
          <w:p w14:paraId="52F8FFE0" w14:textId="5B12EDA1" w:rsidR="00E83233" w:rsidRPr="0004601D" w:rsidRDefault="00A734B5" w:rsidP="00A734B5">
            <w:pPr>
              <w:rPr>
                <w:rFonts w:ascii="Arial" w:hAnsi="Arial" w:cs="Arial"/>
              </w:rPr>
            </w:pPr>
            <w:r w:rsidRPr="0004601D">
              <w:rPr>
                <w:rFonts w:ascii="Arial" w:hAnsi="Arial" w:cs="Arial"/>
                <w:noProof/>
              </w:rPr>
              <w:lastRenderedPageBreak/>
              <w:drawing>
                <wp:inline distT="0" distB="0" distL="0" distR="0" wp14:anchorId="1A31F6A6" wp14:editId="0197AD14">
                  <wp:extent cx="379476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94760" cy="1653540"/>
                          </a:xfrm>
                          <a:prstGeom prst="rect">
                            <a:avLst/>
                          </a:prstGeom>
                          <a:noFill/>
                          <a:ln>
                            <a:noFill/>
                          </a:ln>
                        </pic:spPr>
                      </pic:pic>
                    </a:graphicData>
                  </a:graphic>
                </wp:inline>
              </w:drawing>
            </w:r>
          </w:p>
        </w:tc>
        <w:tc>
          <w:tcPr>
            <w:tcW w:w="1412" w:type="dxa"/>
          </w:tcPr>
          <w:p w14:paraId="357D0573" w14:textId="130872AE" w:rsidR="00E83233" w:rsidRPr="0004601D" w:rsidRDefault="00A734B5" w:rsidP="00E83233">
            <w:pPr>
              <w:jc w:val="center"/>
              <w:rPr>
                <w:rFonts w:ascii="Arial" w:hAnsi="Arial" w:cs="Arial"/>
              </w:rPr>
            </w:pPr>
            <w:r w:rsidRPr="0004601D">
              <w:rPr>
                <w:rFonts w:ascii="Arial" w:hAnsi="Arial" w:cs="Arial"/>
                <w:lang w:val="en-US" w:eastAsia="en-GB"/>
              </w:rPr>
              <w:lastRenderedPageBreak/>
              <w:t>03</w:t>
            </w:r>
            <w:r w:rsidR="004C7650" w:rsidRPr="0004601D">
              <w:rPr>
                <w:rFonts w:ascii="Arial" w:hAnsi="Arial" w:cs="Arial"/>
                <w:lang w:val="en-US" w:eastAsia="en-GB"/>
              </w:rPr>
              <w:t>/</w:t>
            </w:r>
            <w:r w:rsidR="00BF5CCE">
              <w:rPr>
                <w:rFonts w:ascii="Arial" w:hAnsi="Arial" w:cs="Arial"/>
                <w:lang w:val="en-US" w:eastAsia="en-GB"/>
              </w:rPr>
              <w:t>0</w:t>
            </w:r>
            <w:r w:rsidR="004C7650" w:rsidRPr="0004601D">
              <w:rPr>
                <w:rFonts w:ascii="Arial" w:hAnsi="Arial" w:cs="Arial"/>
                <w:lang w:val="en-US" w:eastAsia="en-GB"/>
              </w:rPr>
              <w:t>5/</w:t>
            </w:r>
            <w:r w:rsidRPr="0004601D">
              <w:rPr>
                <w:rFonts w:ascii="Arial" w:hAnsi="Arial" w:cs="Arial"/>
                <w:lang w:val="en-US" w:eastAsia="en-GB"/>
              </w:rPr>
              <w:t>21 23:25</w:t>
            </w:r>
          </w:p>
        </w:tc>
        <w:tc>
          <w:tcPr>
            <w:tcW w:w="1458" w:type="dxa"/>
          </w:tcPr>
          <w:p w14:paraId="1846D4C9" w14:textId="7E1997F4" w:rsidR="00E83233" w:rsidRPr="0004601D" w:rsidRDefault="00A734B5" w:rsidP="00E83233">
            <w:pPr>
              <w:jc w:val="center"/>
              <w:rPr>
                <w:rFonts w:ascii="Arial" w:hAnsi="Arial" w:cs="Arial"/>
              </w:rPr>
            </w:pPr>
            <w:r w:rsidRPr="0004601D">
              <w:rPr>
                <w:rFonts w:ascii="Arial" w:hAnsi="Arial" w:cs="Arial"/>
                <w:lang w:val="en-US" w:eastAsia="en-GB"/>
              </w:rPr>
              <w:t>04</w:t>
            </w:r>
            <w:r w:rsidR="004C7650" w:rsidRPr="0004601D">
              <w:rPr>
                <w:rFonts w:ascii="Arial" w:hAnsi="Arial" w:cs="Arial"/>
                <w:lang w:val="en-US" w:eastAsia="en-GB"/>
              </w:rPr>
              <w:t>/05/</w:t>
            </w:r>
            <w:r w:rsidRPr="0004601D">
              <w:rPr>
                <w:rFonts w:ascii="Arial" w:hAnsi="Arial" w:cs="Arial"/>
                <w:lang w:val="en-US" w:eastAsia="en-GB"/>
              </w:rPr>
              <w:t>21 12:51</w:t>
            </w:r>
          </w:p>
        </w:tc>
      </w:tr>
      <w:tr w:rsidR="00E83233" w:rsidRPr="0004601D" w14:paraId="13F9EE0A" w14:textId="77777777" w:rsidTr="00DB61D5">
        <w:tc>
          <w:tcPr>
            <w:tcW w:w="694" w:type="dxa"/>
          </w:tcPr>
          <w:p w14:paraId="5E2DD2F3" w14:textId="195D6027" w:rsidR="00E83233" w:rsidRPr="0004601D" w:rsidRDefault="00BA7F4B" w:rsidP="00891951">
            <w:pPr>
              <w:rPr>
                <w:rFonts w:ascii="Arial" w:hAnsi="Arial" w:cs="Arial"/>
              </w:rPr>
            </w:pPr>
            <w:r w:rsidRPr="0004601D">
              <w:rPr>
                <w:rFonts w:ascii="Arial" w:hAnsi="Arial" w:cs="Arial"/>
              </w:rPr>
              <w:t>Q4</w:t>
            </w:r>
          </w:p>
        </w:tc>
        <w:tc>
          <w:tcPr>
            <w:tcW w:w="3969" w:type="dxa"/>
          </w:tcPr>
          <w:p w14:paraId="1F029C81" w14:textId="522B7A93" w:rsidR="00E83233" w:rsidRPr="0004601D" w:rsidRDefault="00BA7F4B" w:rsidP="00E83233">
            <w:pPr>
              <w:rPr>
                <w:rFonts w:ascii="Arial" w:hAnsi="Arial" w:cs="Arial"/>
              </w:rPr>
            </w:pPr>
            <w:r w:rsidRPr="0004601D">
              <w:rPr>
                <w:rFonts w:ascii="Arial" w:hAnsi="Arial" w:cs="Arial"/>
              </w:rPr>
              <w:t>I wanted to know whether there are any costs that would not be permissible under this call? For example, the studentship will require analytics as part of the research which will incur cost, as well as technician time to support work carried out within the facility. I assume these are all permissible costs as they are required to meet the deliverables of the research?</w:t>
            </w:r>
          </w:p>
        </w:tc>
        <w:tc>
          <w:tcPr>
            <w:tcW w:w="6395" w:type="dxa"/>
          </w:tcPr>
          <w:p w14:paraId="5E7F2226" w14:textId="77777777" w:rsidR="00BA7F4B" w:rsidRPr="0004601D" w:rsidRDefault="00BA7F4B" w:rsidP="00BA7F4B">
            <w:pPr>
              <w:rPr>
                <w:rFonts w:ascii="Arial" w:hAnsi="Arial" w:cs="Arial"/>
              </w:rPr>
            </w:pPr>
            <w:r w:rsidRPr="0004601D">
              <w:rPr>
                <w:rFonts w:ascii="Arial" w:hAnsi="Arial" w:cs="Arial"/>
              </w:rPr>
              <w:t>Just to confirm that all reasonable costs required to meet the deliverables of the research are permissible and the types of costs you mention are acceptable, noting that each project proposal is expected to cost less than £120,000 and RWM is seeking co-funding/in-kind contributions where possible.</w:t>
            </w:r>
          </w:p>
          <w:p w14:paraId="423ACDBD" w14:textId="77777777" w:rsidR="00E83233" w:rsidRPr="0004601D" w:rsidRDefault="00E83233" w:rsidP="00E83233">
            <w:pPr>
              <w:rPr>
                <w:rFonts w:ascii="Arial" w:hAnsi="Arial" w:cs="Arial"/>
              </w:rPr>
            </w:pPr>
          </w:p>
        </w:tc>
        <w:tc>
          <w:tcPr>
            <w:tcW w:w="1412" w:type="dxa"/>
          </w:tcPr>
          <w:p w14:paraId="64F3B36F" w14:textId="0B83B082" w:rsidR="00E83233" w:rsidRPr="0004601D" w:rsidRDefault="00D55F6D" w:rsidP="00E83233">
            <w:pPr>
              <w:jc w:val="center"/>
              <w:rPr>
                <w:rFonts w:ascii="Arial" w:hAnsi="Arial" w:cs="Arial"/>
              </w:rPr>
            </w:pPr>
            <w:r w:rsidRPr="0004601D">
              <w:rPr>
                <w:rFonts w:ascii="Arial" w:hAnsi="Arial" w:cs="Arial"/>
                <w:lang w:val="en-US" w:eastAsia="en-GB"/>
              </w:rPr>
              <w:t>28</w:t>
            </w:r>
            <w:r w:rsidR="004C7650" w:rsidRPr="0004601D">
              <w:rPr>
                <w:rFonts w:ascii="Arial" w:hAnsi="Arial" w:cs="Arial"/>
                <w:lang w:val="en-US" w:eastAsia="en-GB"/>
              </w:rPr>
              <w:t>/</w:t>
            </w:r>
            <w:r w:rsidR="00BF5CCE">
              <w:rPr>
                <w:rFonts w:ascii="Arial" w:hAnsi="Arial" w:cs="Arial"/>
                <w:lang w:val="en-US" w:eastAsia="en-GB"/>
              </w:rPr>
              <w:t>0</w:t>
            </w:r>
            <w:r w:rsidR="004C7650" w:rsidRPr="0004601D">
              <w:rPr>
                <w:rFonts w:ascii="Arial" w:hAnsi="Arial" w:cs="Arial"/>
                <w:lang w:val="en-US" w:eastAsia="en-GB"/>
              </w:rPr>
              <w:t>4/</w:t>
            </w:r>
            <w:r w:rsidRPr="0004601D">
              <w:rPr>
                <w:rFonts w:ascii="Arial" w:hAnsi="Arial" w:cs="Arial"/>
                <w:lang w:val="en-US" w:eastAsia="en-GB"/>
              </w:rPr>
              <w:t>21 12:44</w:t>
            </w:r>
          </w:p>
        </w:tc>
        <w:tc>
          <w:tcPr>
            <w:tcW w:w="1458" w:type="dxa"/>
          </w:tcPr>
          <w:p w14:paraId="01F7CD6A" w14:textId="56170F31" w:rsidR="003414F5" w:rsidRPr="0004601D" w:rsidRDefault="00D55F6D" w:rsidP="002C3E8B">
            <w:pPr>
              <w:jc w:val="center"/>
              <w:rPr>
                <w:rFonts w:ascii="Arial" w:hAnsi="Arial" w:cs="Arial"/>
                <w:lang w:val="en-US" w:eastAsia="en-GB"/>
              </w:rPr>
            </w:pPr>
            <w:r w:rsidRPr="0004601D">
              <w:rPr>
                <w:rFonts w:ascii="Arial" w:hAnsi="Arial" w:cs="Arial"/>
                <w:lang w:val="en-US" w:eastAsia="en-GB"/>
              </w:rPr>
              <w:t>28</w:t>
            </w:r>
            <w:r w:rsidR="003414F5" w:rsidRPr="0004601D">
              <w:rPr>
                <w:rFonts w:ascii="Arial" w:hAnsi="Arial" w:cs="Arial"/>
                <w:lang w:val="en-US" w:eastAsia="en-GB"/>
              </w:rPr>
              <w:t>/</w:t>
            </w:r>
            <w:r w:rsidR="00BF5CCE">
              <w:rPr>
                <w:rFonts w:ascii="Arial" w:hAnsi="Arial" w:cs="Arial"/>
                <w:lang w:val="en-US" w:eastAsia="en-GB"/>
              </w:rPr>
              <w:t>0</w:t>
            </w:r>
            <w:r w:rsidR="003414F5" w:rsidRPr="0004601D">
              <w:rPr>
                <w:rFonts w:ascii="Arial" w:hAnsi="Arial" w:cs="Arial"/>
                <w:lang w:val="en-US" w:eastAsia="en-GB"/>
              </w:rPr>
              <w:t>4/21</w:t>
            </w:r>
          </w:p>
          <w:p w14:paraId="7437991D" w14:textId="381B14C0" w:rsidR="00E83233" w:rsidRPr="0004601D" w:rsidRDefault="00D55F6D" w:rsidP="002C3E8B">
            <w:pPr>
              <w:jc w:val="center"/>
              <w:rPr>
                <w:rFonts w:ascii="Arial" w:hAnsi="Arial" w:cs="Arial"/>
              </w:rPr>
            </w:pPr>
            <w:r w:rsidRPr="0004601D">
              <w:rPr>
                <w:rFonts w:ascii="Arial" w:hAnsi="Arial" w:cs="Arial"/>
                <w:lang w:val="en-US" w:eastAsia="en-GB"/>
              </w:rPr>
              <w:t>15:50</w:t>
            </w:r>
          </w:p>
        </w:tc>
      </w:tr>
      <w:tr w:rsidR="00BA7F4B" w:rsidRPr="0004601D" w14:paraId="7E7DA40E" w14:textId="77777777" w:rsidTr="00DB61D5">
        <w:tc>
          <w:tcPr>
            <w:tcW w:w="694" w:type="dxa"/>
          </w:tcPr>
          <w:p w14:paraId="38ACCDF2" w14:textId="3CEB143A" w:rsidR="00BA7F4B" w:rsidRPr="0004601D" w:rsidRDefault="00BA7F4B" w:rsidP="00891951">
            <w:pPr>
              <w:rPr>
                <w:rFonts w:ascii="Arial" w:hAnsi="Arial" w:cs="Arial"/>
              </w:rPr>
            </w:pPr>
            <w:r w:rsidRPr="0004601D">
              <w:rPr>
                <w:rFonts w:ascii="Arial" w:hAnsi="Arial" w:cs="Arial"/>
              </w:rPr>
              <w:t>Q</w:t>
            </w:r>
            <w:r w:rsidR="009C5A8E" w:rsidRPr="0004601D">
              <w:rPr>
                <w:rFonts w:ascii="Arial" w:hAnsi="Arial" w:cs="Arial"/>
              </w:rPr>
              <w:t>4a</w:t>
            </w:r>
          </w:p>
        </w:tc>
        <w:tc>
          <w:tcPr>
            <w:tcW w:w="3969" w:type="dxa"/>
          </w:tcPr>
          <w:p w14:paraId="160090C8" w14:textId="77777777" w:rsidR="00BA7F4B" w:rsidRPr="0004601D" w:rsidRDefault="00BA7F4B" w:rsidP="00BA7F4B">
            <w:pPr>
              <w:rPr>
                <w:rFonts w:ascii="Arial" w:hAnsi="Arial" w:cs="Arial"/>
              </w:rPr>
            </w:pPr>
            <w:r w:rsidRPr="0004601D">
              <w:rPr>
                <w:rFonts w:ascii="Arial" w:hAnsi="Arial" w:cs="Arial"/>
              </w:rPr>
              <w:t xml:space="preserve">Are indirect costs and directly allocated costs such as supervisor time permissible on the proposal? </w:t>
            </w:r>
          </w:p>
          <w:p w14:paraId="58659E05" w14:textId="77777777" w:rsidR="00BA7F4B" w:rsidRPr="0004601D" w:rsidRDefault="00BA7F4B" w:rsidP="00E83233">
            <w:pPr>
              <w:rPr>
                <w:rFonts w:ascii="Arial" w:hAnsi="Arial" w:cs="Arial"/>
              </w:rPr>
            </w:pPr>
          </w:p>
        </w:tc>
        <w:tc>
          <w:tcPr>
            <w:tcW w:w="6395" w:type="dxa"/>
          </w:tcPr>
          <w:p w14:paraId="7A9EA636" w14:textId="77777777" w:rsidR="00BA7F4B" w:rsidRPr="0004601D" w:rsidRDefault="00BA7F4B" w:rsidP="00BA7F4B">
            <w:pPr>
              <w:rPr>
                <w:rFonts w:ascii="Arial" w:hAnsi="Arial" w:cs="Arial"/>
              </w:rPr>
            </w:pPr>
            <w:r w:rsidRPr="0004601D">
              <w:rPr>
                <w:rFonts w:ascii="Arial" w:hAnsi="Arial" w:cs="Arial"/>
              </w:rPr>
              <w:t xml:space="preserve">Yes I can confirm DA costs are eligible. </w:t>
            </w:r>
          </w:p>
          <w:p w14:paraId="4D6C0F3D" w14:textId="77777777" w:rsidR="00BA7F4B" w:rsidRPr="0004601D" w:rsidRDefault="00BA7F4B" w:rsidP="00BA7F4B">
            <w:pPr>
              <w:rPr>
                <w:rFonts w:ascii="Arial" w:hAnsi="Arial" w:cs="Arial"/>
              </w:rPr>
            </w:pPr>
          </w:p>
        </w:tc>
        <w:tc>
          <w:tcPr>
            <w:tcW w:w="1412" w:type="dxa"/>
          </w:tcPr>
          <w:p w14:paraId="459186CE" w14:textId="463D5BC3" w:rsidR="00BA7F4B" w:rsidRPr="0004601D" w:rsidRDefault="005B79E5" w:rsidP="00E83233">
            <w:pPr>
              <w:jc w:val="center"/>
              <w:rPr>
                <w:rFonts w:ascii="Arial" w:hAnsi="Arial" w:cs="Arial"/>
              </w:rPr>
            </w:pPr>
            <w:r w:rsidRPr="0004601D">
              <w:rPr>
                <w:rFonts w:ascii="Arial" w:hAnsi="Arial" w:cs="Arial"/>
                <w:lang w:val="en-US" w:eastAsia="en-GB"/>
              </w:rPr>
              <w:t>04</w:t>
            </w:r>
            <w:r w:rsidR="003414F5" w:rsidRPr="0004601D">
              <w:rPr>
                <w:rFonts w:ascii="Arial" w:hAnsi="Arial" w:cs="Arial"/>
                <w:lang w:val="en-US" w:eastAsia="en-GB"/>
              </w:rPr>
              <w:t>/05/2</w:t>
            </w:r>
            <w:r w:rsidRPr="0004601D">
              <w:rPr>
                <w:rFonts w:ascii="Arial" w:hAnsi="Arial" w:cs="Arial"/>
                <w:lang w:val="en-US" w:eastAsia="en-GB"/>
              </w:rPr>
              <w:t>1 22:10</w:t>
            </w:r>
          </w:p>
        </w:tc>
        <w:tc>
          <w:tcPr>
            <w:tcW w:w="1458" w:type="dxa"/>
          </w:tcPr>
          <w:p w14:paraId="7AED5909" w14:textId="7D769FE6" w:rsidR="00BA7F4B" w:rsidRPr="0004601D" w:rsidRDefault="005B79E5" w:rsidP="005B79E5">
            <w:pPr>
              <w:jc w:val="center"/>
              <w:rPr>
                <w:rFonts w:ascii="Arial" w:hAnsi="Arial" w:cs="Arial"/>
              </w:rPr>
            </w:pPr>
            <w:r w:rsidRPr="0004601D">
              <w:rPr>
                <w:rFonts w:ascii="Arial" w:hAnsi="Arial" w:cs="Arial"/>
                <w:lang w:val="en-US" w:eastAsia="en-GB"/>
              </w:rPr>
              <w:t>05</w:t>
            </w:r>
            <w:r w:rsidR="003414F5" w:rsidRPr="0004601D">
              <w:rPr>
                <w:rFonts w:ascii="Arial" w:hAnsi="Arial" w:cs="Arial"/>
                <w:lang w:val="en-US" w:eastAsia="en-GB"/>
              </w:rPr>
              <w:t>/05/21</w:t>
            </w:r>
            <w:r w:rsidRPr="0004601D">
              <w:rPr>
                <w:rFonts w:ascii="Arial" w:hAnsi="Arial" w:cs="Arial"/>
                <w:lang w:val="en-US" w:eastAsia="en-GB"/>
              </w:rPr>
              <w:t xml:space="preserve"> 09:56</w:t>
            </w:r>
          </w:p>
        </w:tc>
      </w:tr>
      <w:tr w:rsidR="00BA7F4B" w:rsidRPr="0004601D" w14:paraId="13378BA9" w14:textId="77777777" w:rsidTr="00DB61D5">
        <w:tc>
          <w:tcPr>
            <w:tcW w:w="694" w:type="dxa"/>
          </w:tcPr>
          <w:p w14:paraId="76DD2157" w14:textId="39438DC2" w:rsidR="00BA7F4B" w:rsidRPr="0004601D" w:rsidRDefault="00BA7F4B" w:rsidP="00891951">
            <w:pPr>
              <w:rPr>
                <w:rFonts w:ascii="Arial" w:hAnsi="Arial" w:cs="Arial"/>
              </w:rPr>
            </w:pPr>
            <w:r w:rsidRPr="0004601D">
              <w:rPr>
                <w:rFonts w:ascii="Arial" w:hAnsi="Arial" w:cs="Arial"/>
              </w:rPr>
              <w:lastRenderedPageBreak/>
              <w:t>Q</w:t>
            </w:r>
            <w:r w:rsidR="009C5A8E" w:rsidRPr="0004601D">
              <w:rPr>
                <w:rFonts w:ascii="Arial" w:hAnsi="Arial" w:cs="Arial"/>
              </w:rPr>
              <w:t>4b</w:t>
            </w:r>
          </w:p>
        </w:tc>
        <w:tc>
          <w:tcPr>
            <w:tcW w:w="3969" w:type="dxa"/>
          </w:tcPr>
          <w:p w14:paraId="2C589E55" w14:textId="160BEBCF" w:rsidR="00BA7F4B" w:rsidRPr="0004601D" w:rsidRDefault="00D55F6D" w:rsidP="00BA7F4B">
            <w:pPr>
              <w:rPr>
                <w:rFonts w:ascii="Arial" w:hAnsi="Arial" w:cs="Arial"/>
              </w:rPr>
            </w:pPr>
            <w:r w:rsidRPr="0004601D">
              <w:rPr>
                <w:rFonts w:ascii="Arial" w:hAnsi="Arial" w:cs="Arial"/>
              </w:rPr>
              <w:t>J</w:t>
            </w:r>
            <w:r w:rsidR="00BA7F4B" w:rsidRPr="0004601D">
              <w:rPr>
                <w:rFonts w:ascii="Arial" w:hAnsi="Arial" w:cs="Arial"/>
              </w:rPr>
              <w:t>ust to confirm, DA costs including estates and indirect are permissible?</w:t>
            </w:r>
          </w:p>
          <w:p w14:paraId="1C550DDB" w14:textId="77777777" w:rsidR="00BA7F4B" w:rsidRPr="0004601D" w:rsidRDefault="00BA7F4B" w:rsidP="00E83233">
            <w:pPr>
              <w:rPr>
                <w:rFonts w:ascii="Arial" w:hAnsi="Arial" w:cs="Arial"/>
              </w:rPr>
            </w:pPr>
          </w:p>
        </w:tc>
        <w:tc>
          <w:tcPr>
            <w:tcW w:w="6395" w:type="dxa"/>
          </w:tcPr>
          <w:p w14:paraId="7FB6C33B" w14:textId="2DF58F00" w:rsidR="00853353" w:rsidRPr="0004601D" w:rsidRDefault="00853353" w:rsidP="00853353">
            <w:pPr>
              <w:rPr>
                <w:rFonts w:ascii="Arial" w:hAnsi="Arial" w:cs="Arial"/>
              </w:rPr>
            </w:pPr>
            <w:bookmarkStart w:id="0" w:name="_Hlk71204894"/>
            <w:r w:rsidRPr="0004601D">
              <w:rPr>
                <w:rFonts w:ascii="Arial" w:hAnsi="Arial" w:cs="Arial"/>
              </w:rPr>
              <w:t>Yes they are. There is space for DA costs within the application form.</w:t>
            </w:r>
          </w:p>
          <w:bookmarkEnd w:id="0"/>
          <w:p w14:paraId="060138CB" w14:textId="65977D82" w:rsidR="00BA7F4B" w:rsidRPr="0004601D" w:rsidRDefault="00BA7F4B" w:rsidP="00BA7F4B">
            <w:pPr>
              <w:rPr>
                <w:rFonts w:ascii="Arial" w:hAnsi="Arial" w:cs="Arial"/>
              </w:rPr>
            </w:pPr>
          </w:p>
        </w:tc>
        <w:tc>
          <w:tcPr>
            <w:tcW w:w="1412" w:type="dxa"/>
          </w:tcPr>
          <w:p w14:paraId="77EC79FE" w14:textId="7583C142" w:rsidR="00BA7F4B" w:rsidRPr="0004601D" w:rsidRDefault="003414F5" w:rsidP="00E83233">
            <w:pPr>
              <w:jc w:val="center"/>
              <w:rPr>
                <w:rFonts w:ascii="Arial" w:hAnsi="Arial" w:cs="Arial"/>
              </w:rPr>
            </w:pPr>
            <w:r w:rsidRPr="0004601D">
              <w:rPr>
                <w:rFonts w:ascii="Arial" w:hAnsi="Arial" w:cs="Arial"/>
                <w:lang w:val="en-US" w:eastAsia="en-GB"/>
              </w:rPr>
              <w:t>05/05/21 09:58</w:t>
            </w:r>
          </w:p>
        </w:tc>
        <w:tc>
          <w:tcPr>
            <w:tcW w:w="1458" w:type="dxa"/>
          </w:tcPr>
          <w:p w14:paraId="76988DAB" w14:textId="77777777" w:rsidR="00BA7F4B" w:rsidRPr="0004601D" w:rsidRDefault="002A3E9D" w:rsidP="00B10F8B">
            <w:pPr>
              <w:jc w:val="center"/>
              <w:rPr>
                <w:rFonts w:ascii="Arial" w:hAnsi="Arial" w:cs="Arial"/>
              </w:rPr>
            </w:pPr>
            <w:r w:rsidRPr="0004601D">
              <w:rPr>
                <w:rFonts w:ascii="Arial" w:hAnsi="Arial" w:cs="Arial"/>
              </w:rPr>
              <w:t>05/05/21</w:t>
            </w:r>
          </w:p>
          <w:p w14:paraId="4610F298" w14:textId="001F1670" w:rsidR="002A3E9D" w:rsidRPr="0004601D" w:rsidRDefault="002A3E9D" w:rsidP="00B10F8B">
            <w:pPr>
              <w:jc w:val="center"/>
              <w:rPr>
                <w:rFonts w:ascii="Arial" w:hAnsi="Arial" w:cs="Arial"/>
              </w:rPr>
            </w:pPr>
            <w:r w:rsidRPr="0004601D">
              <w:rPr>
                <w:rFonts w:ascii="Arial" w:hAnsi="Arial" w:cs="Arial"/>
              </w:rPr>
              <w:t>10:28</w:t>
            </w:r>
          </w:p>
        </w:tc>
      </w:tr>
      <w:tr w:rsidR="0004601D" w:rsidRPr="0004601D" w14:paraId="01EA90A4" w14:textId="77777777" w:rsidTr="00BF7034">
        <w:tc>
          <w:tcPr>
            <w:tcW w:w="694" w:type="dxa"/>
          </w:tcPr>
          <w:p w14:paraId="2B099F07" w14:textId="77777777" w:rsidR="0004601D" w:rsidRPr="0004601D" w:rsidRDefault="0004601D" w:rsidP="00BF7034">
            <w:pPr>
              <w:rPr>
                <w:rFonts w:ascii="Arial" w:hAnsi="Arial" w:cs="Arial"/>
              </w:rPr>
            </w:pPr>
            <w:r w:rsidRPr="0004601D">
              <w:rPr>
                <w:rFonts w:ascii="Arial" w:hAnsi="Arial" w:cs="Arial"/>
              </w:rPr>
              <w:t>Q5, Q6, Q7,</w:t>
            </w:r>
          </w:p>
          <w:p w14:paraId="2B2690CF" w14:textId="77777777" w:rsidR="0004601D" w:rsidRPr="0004601D" w:rsidRDefault="0004601D" w:rsidP="00BF7034">
            <w:pPr>
              <w:rPr>
                <w:rFonts w:ascii="Arial" w:hAnsi="Arial" w:cs="Arial"/>
              </w:rPr>
            </w:pPr>
            <w:r w:rsidRPr="0004601D">
              <w:rPr>
                <w:rFonts w:ascii="Arial" w:hAnsi="Arial" w:cs="Arial"/>
              </w:rPr>
              <w:t>Q8,</w:t>
            </w:r>
          </w:p>
          <w:p w14:paraId="018E10B2" w14:textId="77777777" w:rsidR="0004601D" w:rsidRPr="0004601D" w:rsidRDefault="0004601D" w:rsidP="00BF7034">
            <w:pPr>
              <w:rPr>
                <w:rFonts w:ascii="Arial" w:hAnsi="Arial" w:cs="Arial"/>
              </w:rPr>
            </w:pPr>
            <w:r w:rsidRPr="0004601D">
              <w:rPr>
                <w:rFonts w:ascii="Arial" w:hAnsi="Arial" w:cs="Arial"/>
              </w:rPr>
              <w:t>Q9,</w:t>
            </w:r>
          </w:p>
          <w:p w14:paraId="422338AF" w14:textId="77777777" w:rsidR="0004601D" w:rsidRPr="0004601D" w:rsidRDefault="0004601D" w:rsidP="00BF7034">
            <w:pPr>
              <w:rPr>
                <w:rFonts w:ascii="Arial" w:hAnsi="Arial" w:cs="Arial"/>
              </w:rPr>
            </w:pPr>
          </w:p>
        </w:tc>
        <w:tc>
          <w:tcPr>
            <w:tcW w:w="3969" w:type="dxa"/>
          </w:tcPr>
          <w:p w14:paraId="5C425802" w14:textId="77777777" w:rsidR="0004601D" w:rsidRPr="0004601D" w:rsidRDefault="0004601D" w:rsidP="00BF7034">
            <w:pPr>
              <w:rPr>
                <w:rFonts w:ascii="Arial" w:hAnsi="Arial" w:cs="Arial"/>
                <w:b/>
                <w:bCs/>
              </w:rPr>
            </w:pPr>
          </w:p>
        </w:tc>
        <w:tc>
          <w:tcPr>
            <w:tcW w:w="6395" w:type="dxa"/>
          </w:tcPr>
          <w:p w14:paraId="78372023" w14:textId="41CD50DB" w:rsidR="0004601D" w:rsidRPr="0004601D" w:rsidRDefault="0004601D" w:rsidP="00BF7034">
            <w:pPr>
              <w:rPr>
                <w:rFonts w:ascii="Arial" w:hAnsi="Arial" w:cs="Arial"/>
              </w:rPr>
            </w:pPr>
            <w:r>
              <w:rPr>
                <w:rFonts w:ascii="Arial" w:hAnsi="Arial" w:cs="Arial"/>
              </w:rPr>
              <w:t xml:space="preserve">To </w:t>
            </w:r>
            <w:r w:rsidR="00443754">
              <w:rPr>
                <w:rFonts w:ascii="Arial" w:hAnsi="Arial" w:cs="Arial"/>
              </w:rPr>
              <w:t>f</w:t>
            </w:r>
            <w:r>
              <w:rPr>
                <w:rFonts w:ascii="Arial" w:hAnsi="Arial" w:cs="Arial"/>
              </w:rPr>
              <w:t>ollow</w:t>
            </w:r>
          </w:p>
        </w:tc>
        <w:tc>
          <w:tcPr>
            <w:tcW w:w="1412" w:type="dxa"/>
          </w:tcPr>
          <w:p w14:paraId="75D8CFA1" w14:textId="07E7AB2A" w:rsidR="0004601D" w:rsidRPr="0004601D" w:rsidRDefault="00B91597" w:rsidP="00BF7034">
            <w:pPr>
              <w:jc w:val="center"/>
              <w:rPr>
                <w:rFonts w:ascii="Arial" w:hAnsi="Arial" w:cs="Arial"/>
                <w:lang w:val="en-US" w:eastAsia="en-GB"/>
              </w:rPr>
            </w:pPr>
            <w:r w:rsidRPr="0004601D">
              <w:rPr>
                <w:rFonts w:ascii="Arial" w:hAnsi="Arial" w:cs="Arial"/>
                <w:lang w:val="en-US" w:eastAsia="en-GB"/>
              </w:rPr>
              <w:t>14</w:t>
            </w:r>
            <w:r>
              <w:rPr>
                <w:rFonts w:ascii="Arial" w:hAnsi="Arial" w:cs="Arial"/>
                <w:lang w:val="en-US" w:eastAsia="en-GB"/>
              </w:rPr>
              <w:t>/05/</w:t>
            </w:r>
            <w:r w:rsidRPr="0004601D">
              <w:rPr>
                <w:rFonts w:ascii="Arial" w:hAnsi="Arial" w:cs="Arial"/>
                <w:lang w:val="en-US" w:eastAsia="en-GB"/>
              </w:rPr>
              <w:t>21 12:32</w:t>
            </w:r>
          </w:p>
        </w:tc>
        <w:tc>
          <w:tcPr>
            <w:tcW w:w="1458" w:type="dxa"/>
          </w:tcPr>
          <w:p w14:paraId="19A24981" w14:textId="77777777" w:rsidR="0004601D" w:rsidRPr="0004601D" w:rsidRDefault="0004601D" w:rsidP="00BF7034">
            <w:pPr>
              <w:jc w:val="center"/>
              <w:rPr>
                <w:rFonts w:ascii="Arial" w:hAnsi="Arial" w:cs="Arial"/>
              </w:rPr>
            </w:pPr>
          </w:p>
        </w:tc>
      </w:tr>
      <w:tr w:rsidR="00DB61D5" w:rsidRPr="0004601D" w14:paraId="79A2AD8C" w14:textId="77777777" w:rsidTr="00DB61D5">
        <w:tc>
          <w:tcPr>
            <w:tcW w:w="694" w:type="dxa"/>
          </w:tcPr>
          <w:p w14:paraId="2C2E5F60" w14:textId="77777777" w:rsidR="00DB61D5" w:rsidRPr="0004601D" w:rsidRDefault="00DB61D5" w:rsidP="00BF7034">
            <w:pPr>
              <w:rPr>
                <w:rFonts w:ascii="Arial" w:hAnsi="Arial" w:cs="Arial"/>
              </w:rPr>
            </w:pPr>
            <w:r w:rsidRPr="0004601D">
              <w:rPr>
                <w:rFonts w:ascii="Arial" w:hAnsi="Arial" w:cs="Arial"/>
              </w:rPr>
              <w:t>Q10</w:t>
            </w:r>
          </w:p>
        </w:tc>
        <w:tc>
          <w:tcPr>
            <w:tcW w:w="3969" w:type="dxa"/>
          </w:tcPr>
          <w:p w14:paraId="0A0DA797" w14:textId="77777777" w:rsidR="00DB61D5" w:rsidRPr="0004601D" w:rsidRDefault="00DB61D5" w:rsidP="00BF7034">
            <w:pPr>
              <w:rPr>
                <w:rFonts w:ascii="Arial" w:hAnsi="Arial" w:cs="Arial"/>
              </w:rPr>
            </w:pPr>
            <w:r w:rsidRPr="0004601D">
              <w:rPr>
                <w:rFonts w:ascii="Arial" w:hAnsi="Arial" w:cs="Arial"/>
                <w:b/>
                <w:bCs/>
              </w:rPr>
              <w:t>Right to publish the Agreement (clause 11.6) –</w:t>
            </w:r>
            <w:r w:rsidRPr="0004601D">
              <w:rPr>
                <w:rFonts w:ascii="Arial" w:hAnsi="Arial" w:cs="Arial"/>
              </w:rPr>
              <w:t xml:space="preserve"> for what purpose does RWM require the right to publish the Agreement in its entirety?;</w:t>
            </w:r>
          </w:p>
          <w:p w14:paraId="48E30ACC" w14:textId="77777777" w:rsidR="00DB61D5" w:rsidRPr="0004601D" w:rsidRDefault="00DB61D5" w:rsidP="00BF7034">
            <w:pPr>
              <w:rPr>
                <w:rFonts w:ascii="Arial" w:hAnsi="Arial" w:cs="Arial"/>
              </w:rPr>
            </w:pPr>
          </w:p>
        </w:tc>
        <w:tc>
          <w:tcPr>
            <w:tcW w:w="6395" w:type="dxa"/>
          </w:tcPr>
          <w:p w14:paraId="4921FDC3" w14:textId="77777777" w:rsidR="00DB61D5" w:rsidRPr="0004601D" w:rsidRDefault="00DB61D5" w:rsidP="00BF7034">
            <w:pPr>
              <w:rPr>
                <w:rFonts w:ascii="Arial" w:hAnsi="Arial" w:cs="Arial"/>
              </w:rPr>
            </w:pPr>
            <w:r w:rsidRPr="0004601D">
              <w:rPr>
                <w:rFonts w:ascii="Arial" w:hAnsi="Arial" w:cs="Arial"/>
              </w:rPr>
              <w:t>Compliance with PSR 2015 as RWM is a public sector organisation and if required RWM must publish all the agreements on the public contracts website</w:t>
            </w:r>
          </w:p>
        </w:tc>
        <w:tc>
          <w:tcPr>
            <w:tcW w:w="1412" w:type="dxa"/>
          </w:tcPr>
          <w:p w14:paraId="381110E2" w14:textId="6F8ED1A8" w:rsidR="00DB61D5" w:rsidRPr="0004601D" w:rsidRDefault="00DB61D5" w:rsidP="00BF7034">
            <w:pPr>
              <w:jc w:val="center"/>
              <w:rPr>
                <w:rFonts w:ascii="Arial" w:hAnsi="Arial" w:cs="Arial"/>
                <w:lang w:val="en-US" w:eastAsia="en-GB"/>
              </w:rPr>
            </w:pPr>
            <w:r w:rsidRPr="0004601D">
              <w:rPr>
                <w:rFonts w:ascii="Arial" w:hAnsi="Arial" w:cs="Arial"/>
                <w:lang w:val="en-US" w:eastAsia="en-GB"/>
              </w:rPr>
              <w:t>14</w:t>
            </w:r>
            <w:r w:rsidR="00242BD7">
              <w:rPr>
                <w:rFonts w:ascii="Arial" w:hAnsi="Arial" w:cs="Arial"/>
                <w:lang w:val="en-US" w:eastAsia="en-GB"/>
              </w:rPr>
              <w:t>/</w:t>
            </w:r>
            <w:r w:rsidR="00B91597">
              <w:rPr>
                <w:rFonts w:ascii="Arial" w:hAnsi="Arial" w:cs="Arial"/>
                <w:lang w:val="en-US" w:eastAsia="en-GB"/>
              </w:rPr>
              <w:t>0</w:t>
            </w:r>
            <w:r w:rsidR="00242BD7">
              <w:rPr>
                <w:rFonts w:ascii="Arial" w:hAnsi="Arial" w:cs="Arial"/>
                <w:lang w:val="en-US" w:eastAsia="en-GB"/>
              </w:rPr>
              <w:t>5/</w:t>
            </w:r>
            <w:r w:rsidRPr="0004601D">
              <w:rPr>
                <w:rFonts w:ascii="Arial" w:hAnsi="Arial" w:cs="Arial"/>
                <w:lang w:val="en-US" w:eastAsia="en-GB"/>
              </w:rPr>
              <w:t>21 12:32</w:t>
            </w:r>
          </w:p>
        </w:tc>
        <w:tc>
          <w:tcPr>
            <w:tcW w:w="1458" w:type="dxa"/>
          </w:tcPr>
          <w:p w14:paraId="4E44257D" w14:textId="77777777" w:rsidR="0070742C" w:rsidRPr="0004601D" w:rsidRDefault="0070742C" w:rsidP="0070742C">
            <w:pPr>
              <w:jc w:val="center"/>
              <w:rPr>
                <w:rFonts w:ascii="Arial" w:hAnsi="Arial" w:cs="Arial"/>
              </w:rPr>
            </w:pPr>
            <w:r w:rsidRPr="0004601D">
              <w:rPr>
                <w:rFonts w:ascii="Arial" w:hAnsi="Arial" w:cs="Arial"/>
              </w:rPr>
              <w:t>1</w:t>
            </w:r>
            <w:r>
              <w:rPr>
                <w:rFonts w:ascii="Arial" w:hAnsi="Arial" w:cs="Arial"/>
              </w:rPr>
              <w:t>4/05/21 16:50</w:t>
            </w:r>
          </w:p>
          <w:p w14:paraId="01C18F4A" w14:textId="291E5C39" w:rsidR="00DB61D5" w:rsidRPr="0004601D" w:rsidRDefault="00DB61D5" w:rsidP="00BF7034">
            <w:pPr>
              <w:jc w:val="center"/>
              <w:rPr>
                <w:rFonts w:ascii="Arial" w:hAnsi="Arial" w:cs="Arial"/>
              </w:rPr>
            </w:pPr>
          </w:p>
        </w:tc>
      </w:tr>
      <w:tr w:rsidR="00443754" w:rsidRPr="0004601D" w14:paraId="0D407074" w14:textId="77777777" w:rsidTr="00DB61D5">
        <w:tc>
          <w:tcPr>
            <w:tcW w:w="694" w:type="dxa"/>
          </w:tcPr>
          <w:p w14:paraId="6769B51D" w14:textId="63FBD8C6" w:rsidR="00443754" w:rsidRPr="0004601D" w:rsidRDefault="00443754" w:rsidP="00BF7034">
            <w:pPr>
              <w:rPr>
                <w:rFonts w:ascii="Arial" w:hAnsi="Arial" w:cs="Arial"/>
              </w:rPr>
            </w:pPr>
            <w:r>
              <w:rPr>
                <w:rFonts w:ascii="Arial" w:hAnsi="Arial" w:cs="Arial"/>
              </w:rPr>
              <w:t>Q11</w:t>
            </w:r>
          </w:p>
        </w:tc>
        <w:tc>
          <w:tcPr>
            <w:tcW w:w="3969" w:type="dxa"/>
          </w:tcPr>
          <w:p w14:paraId="5D56092D" w14:textId="77777777" w:rsidR="00443754" w:rsidRPr="0004601D" w:rsidRDefault="00443754" w:rsidP="00BF7034">
            <w:pPr>
              <w:rPr>
                <w:rFonts w:ascii="Arial" w:hAnsi="Arial" w:cs="Arial"/>
                <w:b/>
                <w:bCs/>
              </w:rPr>
            </w:pPr>
          </w:p>
        </w:tc>
        <w:tc>
          <w:tcPr>
            <w:tcW w:w="6395" w:type="dxa"/>
          </w:tcPr>
          <w:p w14:paraId="48AAF5EA" w14:textId="08BD1CF8" w:rsidR="00443754" w:rsidRPr="0004601D" w:rsidRDefault="00443754" w:rsidP="00BF7034">
            <w:pPr>
              <w:rPr>
                <w:rFonts w:ascii="Arial" w:hAnsi="Arial" w:cs="Arial"/>
              </w:rPr>
            </w:pPr>
            <w:r>
              <w:rPr>
                <w:rFonts w:ascii="Arial" w:hAnsi="Arial" w:cs="Arial"/>
              </w:rPr>
              <w:t>To follow</w:t>
            </w:r>
          </w:p>
        </w:tc>
        <w:tc>
          <w:tcPr>
            <w:tcW w:w="1412" w:type="dxa"/>
          </w:tcPr>
          <w:p w14:paraId="61A8E16E" w14:textId="5D9E0CE0" w:rsidR="00443754" w:rsidRPr="0004601D" w:rsidRDefault="00B91597" w:rsidP="00BF7034">
            <w:pPr>
              <w:jc w:val="center"/>
              <w:rPr>
                <w:rFonts w:ascii="Arial" w:hAnsi="Arial" w:cs="Arial"/>
                <w:lang w:val="en-US" w:eastAsia="en-GB"/>
              </w:rPr>
            </w:pPr>
            <w:r w:rsidRPr="0004601D">
              <w:rPr>
                <w:rFonts w:ascii="Arial" w:hAnsi="Arial" w:cs="Arial"/>
                <w:lang w:val="en-US" w:eastAsia="en-GB"/>
              </w:rPr>
              <w:t>14</w:t>
            </w:r>
            <w:r>
              <w:rPr>
                <w:rFonts w:ascii="Arial" w:hAnsi="Arial" w:cs="Arial"/>
                <w:lang w:val="en-US" w:eastAsia="en-GB"/>
              </w:rPr>
              <w:t>/05/</w:t>
            </w:r>
            <w:r w:rsidRPr="0004601D">
              <w:rPr>
                <w:rFonts w:ascii="Arial" w:hAnsi="Arial" w:cs="Arial"/>
                <w:lang w:val="en-US" w:eastAsia="en-GB"/>
              </w:rPr>
              <w:t>21 12:32</w:t>
            </w:r>
          </w:p>
        </w:tc>
        <w:tc>
          <w:tcPr>
            <w:tcW w:w="1458" w:type="dxa"/>
          </w:tcPr>
          <w:p w14:paraId="26DD277B" w14:textId="77777777" w:rsidR="00443754" w:rsidRPr="0004601D" w:rsidRDefault="00443754" w:rsidP="00BF7034">
            <w:pPr>
              <w:jc w:val="center"/>
              <w:rPr>
                <w:rFonts w:ascii="Arial" w:hAnsi="Arial" w:cs="Arial"/>
              </w:rPr>
            </w:pPr>
          </w:p>
        </w:tc>
      </w:tr>
      <w:tr w:rsidR="00DB61D5" w:rsidRPr="0004601D" w14:paraId="09B27BDF" w14:textId="77777777" w:rsidTr="00DB61D5">
        <w:tc>
          <w:tcPr>
            <w:tcW w:w="694" w:type="dxa"/>
          </w:tcPr>
          <w:p w14:paraId="511D02BB" w14:textId="77777777" w:rsidR="00DB61D5" w:rsidRPr="0004601D" w:rsidRDefault="00DB61D5" w:rsidP="00BF7034">
            <w:pPr>
              <w:rPr>
                <w:rFonts w:ascii="Arial" w:hAnsi="Arial" w:cs="Arial"/>
              </w:rPr>
            </w:pPr>
            <w:r w:rsidRPr="0004601D">
              <w:rPr>
                <w:rFonts w:ascii="Arial" w:hAnsi="Arial" w:cs="Arial"/>
              </w:rPr>
              <w:t>Q12</w:t>
            </w:r>
          </w:p>
        </w:tc>
        <w:tc>
          <w:tcPr>
            <w:tcW w:w="3969" w:type="dxa"/>
          </w:tcPr>
          <w:p w14:paraId="60FEA3BD" w14:textId="77777777" w:rsidR="00DB61D5" w:rsidRPr="0004601D" w:rsidRDefault="00DB61D5" w:rsidP="00BF7034">
            <w:pPr>
              <w:rPr>
                <w:rFonts w:ascii="Arial" w:hAnsi="Arial" w:cs="Arial"/>
              </w:rPr>
            </w:pPr>
            <w:r w:rsidRPr="0004601D">
              <w:rPr>
                <w:rFonts w:ascii="Arial" w:hAnsi="Arial" w:cs="Arial"/>
                <w:b/>
                <w:bCs/>
              </w:rPr>
              <w:t>Termination (clause 18.1)</w:t>
            </w:r>
            <w:r w:rsidRPr="0004601D">
              <w:rPr>
                <w:rFonts w:ascii="Arial" w:hAnsi="Arial" w:cs="Arial"/>
              </w:rPr>
              <w:t xml:space="preserve"> – RWM should not have a right to terminate the Agreement for any reason. Such a termination clause is highly unusual for an agreement of this type which is intended to cover a studentship.</w:t>
            </w:r>
          </w:p>
          <w:p w14:paraId="23DC6167" w14:textId="77777777" w:rsidR="00DB61D5" w:rsidRPr="0004601D" w:rsidRDefault="00DB61D5" w:rsidP="00BF7034">
            <w:pPr>
              <w:rPr>
                <w:rFonts w:ascii="Arial" w:hAnsi="Arial" w:cs="Arial"/>
              </w:rPr>
            </w:pPr>
          </w:p>
        </w:tc>
        <w:tc>
          <w:tcPr>
            <w:tcW w:w="6395" w:type="dxa"/>
          </w:tcPr>
          <w:p w14:paraId="58917ACB" w14:textId="77777777" w:rsidR="00DB61D5" w:rsidRPr="0004601D" w:rsidRDefault="00DB61D5" w:rsidP="00BF7034">
            <w:pPr>
              <w:rPr>
                <w:rFonts w:ascii="Arial" w:hAnsi="Arial" w:cs="Arial"/>
              </w:rPr>
            </w:pPr>
            <w:r w:rsidRPr="0004601D">
              <w:rPr>
                <w:rFonts w:ascii="Arial" w:hAnsi="Arial" w:cs="Arial"/>
              </w:rPr>
              <w:t>RWM must have this clauses as RWM are funding by the Government and if they cut the funding then RWM cannot pay the money to the universities (if the Government states that no more grants need to be paid, RWM will have to stop that). We are fully funded by the Government and not a commercial organisation</w:t>
            </w:r>
          </w:p>
        </w:tc>
        <w:tc>
          <w:tcPr>
            <w:tcW w:w="1412" w:type="dxa"/>
          </w:tcPr>
          <w:p w14:paraId="6020976F" w14:textId="550E13DD" w:rsidR="00DB61D5" w:rsidRPr="0004601D" w:rsidRDefault="00DB61D5" w:rsidP="00BF7034">
            <w:pPr>
              <w:jc w:val="center"/>
              <w:rPr>
                <w:rFonts w:ascii="Arial" w:hAnsi="Arial" w:cs="Arial"/>
                <w:lang w:val="en-US" w:eastAsia="en-GB"/>
              </w:rPr>
            </w:pPr>
            <w:r w:rsidRPr="0004601D">
              <w:rPr>
                <w:rFonts w:ascii="Arial" w:hAnsi="Arial" w:cs="Arial"/>
                <w:lang w:val="en-US" w:eastAsia="en-GB"/>
              </w:rPr>
              <w:t>14</w:t>
            </w:r>
            <w:r w:rsidR="00242BD7">
              <w:rPr>
                <w:rFonts w:ascii="Arial" w:hAnsi="Arial" w:cs="Arial"/>
                <w:lang w:val="en-US" w:eastAsia="en-GB"/>
              </w:rPr>
              <w:t>/</w:t>
            </w:r>
            <w:r w:rsidR="00B91597">
              <w:rPr>
                <w:rFonts w:ascii="Arial" w:hAnsi="Arial" w:cs="Arial"/>
                <w:lang w:val="en-US" w:eastAsia="en-GB"/>
              </w:rPr>
              <w:t>0</w:t>
            </w:r>
            <w:r w:rsidR="00242BD7">
              <w:rPr>
                <w:rFonts w:ascii="Arial" w:hAnsi="Arial" w:cs="Arial"/>
                <w:lang w:val="en-US" w:eastAsia="en-GB"/>
              </w:rPr>
              <w:t>5/</w:t>
            </w:r>
            <w:r w:rsidRPr="0004601D">
              <w:rPr>
                <w:rFonts w:ascii="Arial" w:hAnsi="Arial" w:cs="Arial"/>
                <w:lang w:val="en-US" w:eastAsia="en-GB"/>
              </w:rPr>
              <w:t>21 12:32</w:t>
            </w:r>
          </w:p>
        </w:tc>
        <w:tc>
          <w:tcPr>
            <w:tcW w:w="1458" w:type="dxa"/>
          </w:tcPr>
          <w:p w14:paraId="6FEF66B5" w14:textId="77777777" w:rsidR="0070742C" w:rsidRPr="0004601D" w:rsidRDefault="0070742C" w:rsidP="0070742C">
            <w:pPr>
              <w:jc w:val="center"/>
              <w:rPr>
                <w:rFonts w:ascii="Arial" w:hAnsi="Arial" w:cs="Arial"/>
              </w:rPr>
            </w:pPr>
            <w:r w:rsidRPr="0004601D">
              <w:rPr>
                <w:rFonts w:ascii="Arial" w:hAnsi="Arial" w:cs="Arial"/>
              </w:rPr>
              <w:t>1</w:t>
            </w:r>
            <w:r>
              <w:rPr>
                <w:rFonts w:ascii="Arial" w:hAnsi="Arial" w:cs="Arial"/>
              </w:rPr>
              <w:t>4/05/21 16:50</w:t>
            </w:r>
          </w:p>
          <w:p w14:paraId="5D5E676C" w14:textId="77777777" w:rsidR="00DB61D5" w:rsidRPr="0004601D" w:rsidRDefault="00DB61D5" w:rsidP="00BF7034">
            <w:pPr>
              <w:jc w:val="center"/>
              <w:rPr>
                <w:rFonts w:ascii="Arial" w:hAnsi="Arial" w:cs="Arial"/>
              </w:rPr>
            </w:pPr>
          </w:p>
        </w:tc>
      </w:tr>
      <w:tr w:rsidR="00443754" w:rsidRPr="0004601D" w14:paraId="1D02979E" w14:textId="77777777" w:rsidTr="00BF7034">
        <w:tc>
          <w:tcPr>
            <w:tcW w:w="694" w:type="dxa"/>
          </w:tcPr>
          <w:p w14:paraId="7A3D40CF" w14:textId="77777777" w:rsidR="00443754" w:rsidRPr="0004601D" w:rsidRDefault="00443754" w:rsidP="00BF7034">
            <w:pPr>
              <w:rPr>
                <w:rFonts w:ascii="Arial" w:hAnsi="Arial" w:cs="Arial"/>
              </w:rPr>
            </w:pPr>
            <w:r w:rsidRPr="0004601D">
              <w:rPr>
                <w:rFonts w:ascii="Arial" w:hAnsi="Arial" w:cs="Arial"/>
              </w:rPr>
              <w:t>Q13</w:t>
            </w:r>
          </w:p>
        </w:tc>
        <w:tc>
          <w:tcPr>
            <w:tcW w:w="3969" w:type="dxa"/>
          </w:tcPr>
          <w:p w14:paraId="1AEC516E" w14:textId="77777777" w:rsidR="00443754" w:rsidRPr="0004601D" w:rsidRDefault="00443754" w:rsidP="00BF7034">
            <w:pPr>
              <w:rPr>
                <w:rFonts w:ascii="Arial" w:hAnsi="Arial" w:cs="Arial"/>
                <w:b/>
                <w:bCs/>
              </w:rPr>
            </w:pPr>
            <w:r w:rsidRPr="0004601D">
              <w:rPr>
                <w:rFonts w:ascii="Arial" w:hAnsi="Arial" w:cs="Arial"/>
                <w:b/>
                <w:bCs/>
              </w:rPr>
              <w:t>Security Requirements (schedule 3)</w:t>
            </w:r>
            <w:r w:rsidRPr="0004601D">
              <w:rPr>
                <w:rFonts w:ascii="Arial" w:hAnsi="Arial" w:cs="Arial"/>
              </w:rPr>
              <w:t xml:space="preserve"> – We understand this Schedule is present in some RWM contracts, but not others. On discussion with our IT Security team, we feel the level of cyber security provision expected is abnormally high for a PhD project delivering fundamental understanding. In particular, the requirement under schedule 3 clause 3.5 that all IT systems used require routine </w:t>
            </w:r>
            <w:r w:rsidRPr="0004601D">
              <w:rPr>
                <w:rFonts w:ascii="Arial" w:hAnsi="Arial" w:cs="Arial"/>
              </w:rPr>
              <w:lastRenderedPageBreak/>
              <w:t>penetration testing performed by a credible external security consultant would require significant  change in the standard data Cyber Essentials Compliant management practices we routinely use for PhD studentships. This is deliverable for projects with elevated security classification, but we do not understand the requirement in this case. Given the significant change to normal working practices the PhD student would have to undergo to meet these requirements, we feel the need for this level of security has to be questioned.</w:t>
            </w:r>
          </w:p>
        </w:tc>
        <w:tc>
          <w:tcPr>
            <w:tcW w:w="6395" w:type="dxa"/>
          </w:tcPr>
          <w:p w14:paraId="76FCAD5E" w14:textId="27BAED5F" w:rsidR="00443754" w:rsidRPr="0004601D" w:rsidRDefault="00443754" w:rsidP="00BF7034">
            <w:pPr>
              <w:rPr>
                <w:rFonts w:ascii="Arial" w:hAnsi="Arial" w:cs="Arial"/>
              </w:rPr>
            </w:pPr>
            <w:r>
              <w:rPr>
                <w:rFonts w:ascii="Arial" w:hAnsi="Arial" w:cs="Arial"/>
              </w:rPr>
              <w:lastRenderedPageBreak/>
              <w:t>To follow</w:t>
            </w:r>
          </w:p>
        </w:tc>
        <w:tc>
          <w:tcPr>
            <w:tcW w:w="1412" w:type="dxa"/>
          </w:tcPr>
          <w:p w14:paraId="5693E921" w14:textId="27291606" w:rsidR="00443754" w:rsidRPr="0004601D" w:rsidRDefault="00443754" w:rsidP="00BF7034">
            <w:pPr>
              <w:jc w:val="center"/>
              <w:rPr>
                <w:rFonts w:ascii="Arial" w:hAnsi="Arial" w:cs="Arial"/>
                <w:lang w:val="en-US" w:eastAsia="en-GB"/>
              </w:rPr>
            </w:pPr>
            <w:r w:rsidRPr="0004601D">
              <w:rPr>
                <w:rFonts w:ascii="Arial" w:hAnsi="Arial" w:cs="Arial"/>
                <w:lang w:val="en-US" w:eastAsia="en-GB"/>
              </w:rPr>
              <w:t>14</w:t>
            </w:r>
            <w:r w:rsidR="00242BD7">
              <w:rPr>
                <w:rFonts w:ascii="Arial" w:hAnsi="Arial" w:cs="Arial"/>
                <w:lang w:val="en-US" w:eastAsia="en-GB"/>
              </w:rPr>
              <w:t xml:space="preserve">/05/21 </w:t>
            </w:r>
            <w:r w:rsidRPr="0004601D">
              <w:rPr>
                <w:rFonts w:ascii="Arial" w:hAnsi="Arial" w:cs="Arial"/>
                <w:lang w:val="en-US" w:eastAsia="en-GB"/>
              </w:rPr>
              <w:t>12:32</w:t>
            </w:r>
          </w:p>
        </w:tc>
        <w:tc>
          <w:tcPr>
            <w:tcW w:w="1458" w:type="dxa"/>
          </w:tcPr>
          <w:p w14:paraId="4D0FDC1D" w14:textId="2251DFE9" w:rsidR="00242BD7" w:rsidRPr="0004601D" w:rsidRDefault="00242BD7" w:rsidP="00242BD7">
            <w:pPr>
              <w:rPr>
                <w:rFonts w:ascii="Arial" w:hAnsi="Arial" w:cs="Arial"/>
              </w:rPr>
            </w:pPr>
          </w:p>
          <w:p w14:paraId="03638C1B" w14:textId="77777777" w:rsidR="00443754" w:rsidRPr="0004601D" w:rsidRDefault="00443754" w:rsidP="00BF7034">
            <w:pPr>
              <w:jc w:val="center"/>
              <w:rPr>
                <w:rFonts w:ascii="Arial" w:hAnsi="Arial" w:cs="Arial"/>
              </w:rPr>
            </w:pPr>
          </w:p>
        </w:tc>
      </w:tr>
      <w:tr w:rsidR="00DB61D5" w:rsidRPr="0004601D" w14:paraId="0D878472" w14:textId="77777777" w:rsidTr="00DB61D5">
        <w:tc>
          <w:tcPr>
            <w:tcW w:w="694" w:type="dxa"/>
          </w:tcPr>
          <w:p w14:paraId="167D1615" w14:textId="77777777" w:rsidR="00DB61D5" w:rsidRPr="0004601D" w:rsidRDefault="00DB61D5" w:rsidP="00BF7034">
            <w:pPr>
              <w:rPr>
                <w:rFonts w:ascii="Arial" w:hAnsi="Arial" w:cs="Arial"/>
              </w:rPr>
            </w:pPr>
            <w:r w:rsidRPr="0004601D">
              <w:rPr>
                <w:rFonts w:ascii="Arial" w:hAnsi="Arial" w:cs="Arial"/>
              </w:rPr>
              <w:t>Q14</w:t>
            </w:r>
          </w:p>
        </w:tc>
        <w:tc>
          <w:tcPr>
            <w:tcW w:w="3969" w:type="dxa"/>
          </w:tcPr>
          <w:p w14:paraId="57C4D468" w14:textId="77777777" w:rsidR="00DB61D5" w:rsidRPr="0004601D" w:rsidRDefault="00DB61D5" w:rsidP="00BF7034">
            <w:pPr>
              <w:rPr>
                <w:rFonts w:ascii="Arial" w:hAnsi="Arial" w:cs="Arial"/>
              </w:rPr>
            </w:pPr>
            <w:r w:rsidRPr="0004601D">
              <w:rPr>
                <w:rFonts w:ascii="Arial" w:hAnsi="Arial" w:cs="Arial"/>
                <w:b/>
                <w:bCs/>
              </w:rPr>
              <w:t>Additional Sources of Funding</w:t>
            </w:r>
            <w:r w:rsidRPr="0004601D">
              <w:rPr>
                <w:rFonts w:ascii="Arial" w:hAnsi="Arial" w:cs="Arial"/>
              </w:rPr>
              <w:t xml:space="preserve"> – should be mentioned within the Agreement and the terms and conditions of this Agreement (e.g. in relation to IP, publications etc.) will need to be consistent with any terms and conditions of any other sources of funding so there must be a certain level of flexibility within the Agreement to account for this as previously acknowledged by RWM within RWM’s comments when a draft Agreement is initially issued by RWM to a party for review.</w:t>
            </w:r>
          </w:p>
          <w:p w14:paraId="35157D23" w14:textId="77777777" w:rsidR="00DB61D5" w:rsidRPr="0004601D" w:rsidRDefault="00DB61D5" w:rsidP="00BF7034">
            <w:pPr>
              <w:rPr>
                <w:rFonts w:ascii="Arial" w:hAnsi="Arial" w:cs="Arial"/>
              </w:rPr>
            </w:pPr>
          </w:p>
        </w:tc>
        <w:tc>
          <w:tcPr>
            <w:tcW w:w="6395" w:type="dxa"/>
          </w:tcPr>
          <w:p w14:paraId="146E7C03" w14:textId="77777777" w:rsidR="00DB61D5" w:rsidRPr="0004601D" w:rsidRDefault="00DB61D5" w:rsidP="00BF7034">
            <w:pPr>
              <w:rPr>
                <w:rFonts w:ascii="Arial" w:hAnsi="Arial" w:cs="Arial"/>
              </w:rPr>
            </w:pPr>
            <w:r w:rsidRPr="0004601D">
              <w:rPr>
                <w:rFonts w:ascii="Arial" w:hAnsi="Arial" w:cs="Arial"/>
              </w:rPr>
              <w:t>Noted. RWM will consider the IP in relation to joint funding with other funding bodies (not universities applying for the funding) if the universities are obtaining additional funding for the proposed project. However, if the funding is only provided by RWM, the IP clauses stand.</w:t>
            </w:r>
          </w:p>
        </w:tc>
        <w:tc>
          <w:tcPr>
            <w:tcW w:w="1412" w:type="dxa"/>
          </w:tcPr>
          <w:p w14:paraId="6D983FD3" w14:textId="3003B8A4" w:rsidR="00DB61D5" w:rsidRPr="0004601D" w:rsidRDefault="00DB61D5" w:rsidP="00BF7034">
            <w:pPr>
              <w:jc w:val="center"/>
              <w:rPr>
                <w:rFonts w:ascii="Arial" w:hAnsi="Arial" w:cs="Arial"/>
                <w:lang w:val="en-US" w:eastAsia="en-GB"/>
              </w:rPr>
            </w:pPr>
            <w:r w:rsidRPr="0004601D">
              <w:rPr>
                <w:rFonts w:ascii="Arial" w:hAnsi="Arial" w:cs="Arial"/>
                <w:lang w:val="en-US" w:eastAsia="en-GB"/>
              </w:rPr>
              <w:t>14</w:t>
            </w:r>
            <w:r w:rsidR="00242BD7">
              <w:rPr>
                <w:rFonts w:ascii="Arial" w:hAnsi="Arial" w:cs="Arial"/>
                <w:lang w:val="en-US" w:eastAsia="en-GB"/>
              </w:rPr>
              <w:t>/05/</w:t>
            </w:r>
            <w:r w:rsidRPr="0004601D">
              <w:rPr>
                <w:rFonts w:ascii="Arial" w:hAnsi="Arial" w:cs="Arial"/>
                <w:lang w:val="en-US" w:eastAsia="en-GB"/>
              </w:rPr>
              <w:t>21 12:32</w:t>
            </w:r>
          </w:p>
        </w:tc>
        <w:tc>
          <w:tcPr>
            <w:tcW w:w="1458" w:type="dxa"/>
          </w:tcPr>
          <w:p w14:paraId="6B0CC559" w14:textId="6E69829C" w:rsidR="00242BD7" w:rsidRPr="0004601D" w:rsidRDefault="00242BD7" w:rsidP="00242BD7">
            <w:pPr>
              <w:jc w:val="center"/>
              <w:rPr>
                <w:rFonts w:ascii="Arial" w:hAnsi="Arial" w:cs="Arial"/>
              </w:rPr>
            </w:pPr>
            <w:r w:rsidRPr="0004601D">
              <w:rPr>
                <w:rFonts w:ascii="Arial" w:hAnsi="Arial" w:cs="Arial"/>
              </w:rPr>
              <w:t>1</w:t>
            </w:r>
            <w:r w:rsidR="0070742C">
              <w:rPr>
                <w:rFonts w:ascii="Arial" w:hAnsi="Arial" w:cs="Arial"/>
              </w:rPr>
              <w:t>4</w:t>
            </w:r>
            <w:r>
              <w:rPr>
                <w:rFonts w:ascii="Arial" w:hAnsi="Arial" w:cs="Arial"/>
              </w:rPr>
              <w:t xml:space="preserve">/05/21 </w:t>
            </w:r>
            <w:r w:rsidR="0070742C">
              <w:rPr>
                <w:rFonts w:ascii="Arial" w:hAnsi="Arial" w:cs="Arial"/>
              </w:rPr>
              <w:t>16:50</w:t>
            </w:r>
          </w:p>
          <w:p w14:paraId="04D57F76" w14:textId="77777777" w:rsidR="00DB61D5" w:rsidRPr="0004601D" w:rsidRDefault="00DB61D5" w:rsidP="00BF7034">
            <w:pPr>
              <w:jc w:val="center"/>
              <w:rPr>
                <w:rFonts w:ascii="Arial" w:hAnsi="Arial" w:cs="Arial"/>
              </w:rPr>
            </w:pPr>
          </w:p>
        </w:tc>
      </w:tr>
    </w:tbl>
    <w:p w14:paraId="22650F5A" w14:textId="77777777" w:rsidR="00DA0D55" w:rsidRDefault="00DA0D55" w:rsidP="00DA0D55">
      <w:pPr>
        <w:jc w:val="center"/>
      </w:pPr>
    </w:p>
    <w:sectPr w:rsidR="00DA0D55" w:rsidSect="00DA0D5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92AA" w14:textId="77777777" w:rsidR="00DD0EBF" w:rsidRDefault="00DD0EBF" w:rsidP="002B6451">
      <w:pPr>
        <w:spacing w:after="0" w:line="240" w:lineRule="auto"/>
      </w:pPr>
      <w:r>
        <w:separator/>
      </w:r>
    </w:p>
  </w:endnote>
  <w:endnote w:type="continuationSeparator" w:id="0">
    <w:p w14:paraId="3C05F0CE" w14:textId="77777777" w:rsidR="00DD0EBF" w:rsidRDefault="00DD0EBF" w:rsidP="002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B9A6" w14:textId="77777777" w:rsidR="00DD0EBF" w:rsidRDefault="00DD0EBF" w:rsidP="002B6451">
      <w:pPr>
        <w:spacing w:after="0" w:line="240" w:lineRule="auto"/>
      </w:pPr>
      <w:r>
        <w:separator/>
      </w:r>
    </w:p>
  </w:footnote>
  <w:footnote w:type="continuationSeparator" w:id="0">
    <w:p w14:paraId="183A9AF7" w14:textId="77777777" w:rsidR="00DD0EBF" w:rsidRDefault="00DD0EBF" w:rsidP="002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B1DB" w14:textId="77777777" w:rsidR="002B6451" w:rsidRDefault="002B6451">
    <w:pPr>
      <w:pStyle w:val="Header"/>
    </w:pPr>
    <w:r>
      <w:rPr>
        <w:noProof/>
        <w:lang w:eastAsia="en-GB"/>
      </w:rPr>
      <w:drawing>
        <wp:inline distT="0" distB="0" distL="0" distR="0" wp14:anchorId="2A557B98" wp14:editId="2C73505C">
          <wp:extent cx="2216255" cy="390525"/>
          <wp:effectExtent l="0" t="0" r="0" b="0"/>
          <wp:docPr id="1" name="Picture 0" descr="RWM L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WM L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91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06F2"/>
    <w:multiLevelType w:val="hybridMultilevel"/>
    <w:tmpl w:val="BA167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8491D"/>
    <w:multiLevelType w:val="hybridMultilevel"/>
    <w:tmpl w:val="732E3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C00454"/>
    <w:multiLevelType w:val="hybridMultilevel"/>
    <w:tmpl w:val="80E42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CD1901"/>
    <w:multiLevelType w:val="hybridMultilevel"/>
    <w:tmpl w:val="96888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81AEA"/>
    <w:multiLevelType w:val="hybridMultilevel"/>
    <w:tmpl w:val="9872B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727C35"/>
    <w:multiLevelType w:val="hybridMultilevel"/>
    <w:tmpl w:val="8E1C460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55"/>
    <w:rsid w:val="0004601D"/>
    <w:rsid w:val="00047E23"/>
    <w:rsid w:val="00047F8D"/>
    <w:rsid w:val="0007020A"/>
    <w:rsid w:val="000C094F"/>
    <w:rsid w:val="000F21AD"/>
    <w:rsid w:val="000F2DEF"/>
    <w:rsid w:val="0012226A"/>
    <w:rsid w:val="00136683"/>
    <w:rsid w:val="001617F5"/>
    <w:rsid w:val="001671A2"/>
    <w:rsid w:val="00195D46"/>
    <w:rsid w:val="00242BD7"/>
    <w:rsid w:val="00280EEE"/>
    <w:rsid w:val="00292B48"/>
    <w:rsid w:val="002A3E9D"/>
    <w:rsid w:val="002B6451"/>
    <w:rsid w:val="002C3E8B"/>
    <w:rsid w:val="002E3965"/>
    <w:rsid w:val="002F6B09"/>
    <w:rsid w:val="00305072"/>
    <w:rsid w:val="00311058"/>
    <w:rsid w:val="003414F5"/>
    <w:rsid w:val="00342B8D"/>
    <w:rsid w:val="00361518"/>
    <w:rsid w:val="00395F3B"/>
    <w:rsid w:val="003E4AFE"/>
    <w:rsid w:val="00430539"/>
    <w:rsid w:val="00440D94"/>
    <w:rsid w:val="00443754"/>
    <w:rsid w:val="00445C80"/>
    <w:rsid w:val="004B020B"/>
    <w:rsid w:val="004C7650"/>
    <w:rsid w:val="004E0D6F"/>
    <w:rsid w:val="004E56B7"/>
    <w:rsid w:val="00510D61"/>
    <w:rsid w:val="00516077"/>
    <w:rsid w:val="00573E64"/>
    <w:rsid w:val="005B79E5"/>
    <w:rsid w:val="005D609C"/>
    <w:rsid w:val="005F0E83"/>
    <w:rsid w:val="006419C5"/>
    <w:rsid w:val="00661C1A"/>
    <w:rsid w:val="00676BAF"/>
    <w:rsid w:val="006C79E1"/>
    <w:rsid w:val="006E0EEA"/>
    <w:rsid w:val="0070742C"/>
    <w:rsid w:val="00713D7A"/>
    <w:rsid w:val="00762EA1"/>
    <w:rsid w:val="007B3ECF"/>
    <w:rsid w:val="007C5163"/>
    <w:rsid w:val="007D18EB"/>
    <w:rsid w:val="007E44E2"/>
    <w:rsid w:val="00815291"/>
    <w:rsid w:val="00826863"/>
    <w:rsid w:val="00853353"/>
    <w:rsid w:val="00856709"/>
    <w:rsid w:val="00891951"/>
    <w:rsid w:val="008A66B8"/>
    <w:rsid w:val="008B2292"/>
    <w:rsid w:val="008D7334"/>
    <w:rsid w:val="00901CC2"/>
    <w:rsid w:val="00933D0F"/>
    <w:rsid w:val="009526E0"/>
    <w:rsid w:val="0096274F"/>
    <w:rsid w:val="00974252"/>
    <w:rsid w:val="0098229C"/>
    <w:rsid w:val="009C4E9A"/>
    <w:rsid w:val="009C5A8E"/>
    <w:rsid w:val="009E2016"/>
    <w:rsid w:val="00A477C7"/>
    <w:rsid w:val="00A734B5"/>
    <w:rsid w:val="00AE4F79"/>
    <w:rsid w:val="00AF6D5D"/>
    <w:rsid w:val="00B10F8B"/>
    <w:rsid w:val="00B91597"/>
    <w:rsid w:val="00B93C16"/>
    <w:rsid w:val="00BA7F4B"/>
    <w:rsid w:val="00BF5CCE"/>
    <w:rsid w:val="00C20241"/>
    <w:rsid w:val="00C234E5"/>
    <w:rsid w:val="00C66375"/>
    <w:rsid w:val="00D55F6D"/>
    <w:rsid w:val="00D71E36"/>
    <w:rsid w:val="00DA0D55"/>
    <w:rsid w:val="00DB61D5"/>
    <w:rsid w:val="00DD0A78"/>
    <w:rsid w:val="00DD0EBF"/>
    <w:rsid w:val="00DF3C8A"/>
    <w:rsid w:val="00DF7FF0"/>
    <w:rsid w:val="00E0472A"/>
    <w:rsid w:val="00E17D5C"/>
    <w:rsid w:val="00E573BB"/>
    <w:rsid w:val="00E660DD"/>
    <w:rsid w:val="00E83233"/>
    <w:rsid w:val="00EA408F"/>
    <w:rsid w:val="00EB6996"/>
    <w:rsid w:val="00EE66F9"/>
    <w:rsid w:val="00F15B63"/>
    <w:rsid w:val="00F174DF"/>
    <w:rsid w:val="00F23C4A"/>
    <w:rsid w:val="00F37F6E"/>
    <w:rsid w:val="00F414D1"/>
    <w:rsid w:val="00F53108"/>
    <w:rsid w:val="00F93638"/>
    <w:rsid w:val="00FB1C60"/>
    <w:rsid w:val="00FC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2337"/>
  <w15:docId w15:val="{707F6DE7-5EC4-4E34-B0F4-BAE4E2F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229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047F8D"/>
    <w:rPr>
      <w:color w:val="0000FF"/>
      <w:u w:val="single"/>
    </w:rPr>
  </w:style>
  <w:style w:type="paragraph" w:styleId="BalloonText">
    <w:name w:val="Balloon Text"/>
    <w:basedOn w:val="Normal"/>
    <w:link w:val="BalloonTextChar"/>
    <w:uiPriority w:val="99"/>
    <w:semiHidden/>
    <w:unhideWhenUsed/>
    <w:rsid w:val="0016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A2"/>
    <w:rPr>
      <w:rFonts w:ascii="Tahoma" w:hAnsi="Tahoma" w:cs="Tahoma"/>
      <w:sz w:val="16"/>
      <w:szCs w:val="16"/>
    </w:rPr>
  </w:style>
  <w:style w:type="paragraph" w:styleId="ListParagraph">
    <w:name w:val="List Paragraph"/>
    <w:basedOn w:val="Normal"/>
    <w:uiPriority w:val="34"/>
    <w:qFormat/>
    <w:rsid w:val="00FB1C60"/>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96274F"/>
    <w:rPr>
      <w:sz w:val="16"/>
      <w:szCs w:val="16"/>
    </w:rPr>
  </w:style>
  <w:style w:type="paragraph" w:styleId="CommentText">
    <w:name w:val="annotation text"/>
    <w:basedOn w:val="Normal"/>
    <w:link w:val="CommentTextChar"/>
    <w:uiPriority w:val="99"/>
    <w:semiHidden/>
    <w:unhideWhenUsed/>
    <w:rsid w:val="0096274F"/>
    <w:pPr>
      <w:spacing w:line="240" w:lineRule="auto"/>
    </w:pPr>
    <w:rPr>
      <w:sz w:val="20"/>
      <w:szCs w:val="20"/>
    </w:rPr>
  </w:style>
  <w:style w:type="character" w:customStyle="1" w:styleId="CommentTextChar">
    <w:name w:val="Comment Text Char"/>
    <w:basedOn w:val="DefaultParagraphFont"/>
    <w:link w:val="CommentText"/>
    <w:uiPriority w:val="99"/>
    <w:semiHidden/>
    <w:rsid w:val="0096274F"/>
    <w:rPr>
      <w:sz w:val="20"/>
      <w:szCs w:val="20"/>
    </w:rPr>
  </w:style>
  <w:style w:type="paragraph" w:styleId="CommentSubject">
    <w:name w:val="annotation subject"/>
    <w:basedOn w:val="CommentText"/>
    <w:next w:val="CommentText"/>
    <w:link w:val="CommentSubjectChar"/>
    <w:uiPriority w:val="99"/>
    <w:semiHidden/>
    <w:unhideWhenUsed/>
    <w:rsid w:val="0096274F"/>
    <w:rPr>
      <w:b/>
      <w:bCs/>
    </w:rPr>
  </w:style>
  <w:style w:type="character" w:customStyle="1" w:styleId="CommentSubjectChar">
    <w:name w:val="Comment Subject Char"/>
    <w:basedOn w:val="CommentTextChar"/>
    <w:link w:val="CommentSubject"/>
    <w:uiPriority w:val="99"/>
    <w:semiHidden/>
    <w:rsid w:val="0096274F"/>
    <w:rPr>
      <w:b/>
      <w:bCs/>
      <w:sz w:val="20"/>
      <w:szCs w:val="20"/>
    </w:rPr>
  </w:style>
  <w:style w:type="paragraph" w:styleId="Header">
    <w:name w:val="header"/>
    <w:basedOn w:val="Normal"/>
    <w:link w:val="HeaderChar"/>
    <w:uiPriority w:val="99"/>
    <w:unhideWhenUsed/>
    <w:rsid w:val="002B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51"/>
  </w:style>
  <w:style w:type="paragraph" w:styleId="Footer">
    <w:name w:val="footer"/>
    <w:basedOn w:val="Normal"/>
    <w:link w:val="FooterChar"/>
    <w:uiPriority w:val="99"/>
    <w:unhideWhenUsed/>
    <w:rsid w:val="002B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51"/>
  </w:style>
  <w:style w:type="paragraph" w:styleId="PlainText">
    <w:name w:val="Plain Text"/>
    <w:basedOn w:val="Normal"/>
    <w:link w:val="PlainTextChar"/>
    <w:uiPriority w:val="99"/>
    <w:semiHidden/>
    <w:unhideWhenUsed/>
    <w:rsid w:val="00F15B6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15B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533">
      <w:bodyDiv w:val="1"/>
      <w:marLeft w:val="0"/>
      <w:marRight w:val="0"/>
      <w:marTop w:val="0"/>
      <w:marBottom w:val="0"/>
      <w:divBdr>
        <w:top w:val="none" w:sz="0" w:space="0" w:color="auto"/>
        <w:left w:val="none" w:sz="0" w:space="0" w:color="auto"/>
        <w:bottom w:val="none" w:sz="0" w:space="0" w:color="auto"/>
        <w:right w:val="none" w:sz="0" w:space="0" w:color="auto"/>
      </w:divBdr>
    </w:div>
    <w:div w:id="48189979">
      <w:bodyDiv w:val="1"/>
      <w:marLeft w:val="0"/>
      <w:marRight w:val="0"/>
      <w:marTop w:val="0"/>
      <w:marBottom w:val="0"/>
      <w:divBdr>
        <w:top w:val="none" w:sz="0" w:space="0" w:color="auto"/>
        <w:left w:val="none" w:sz="0" w:space="0" w:color="auto"/>
        <w:bottom w:val="none" w:sz="0" w:space="0" w:color="auto"/>
        <w:right w:val="none" w:sz="0" w:space="0" w:color="auto"/>
      </w:divBdr>
    </w:div>
    <w:div w:id="102068461">
      <w:bodyDiv w:val="1"/>
      <w:marLeft w:val="0"/>
      <w:marRight w:val="0"/>
      <w:marTop w:val="0"/>
      <w:marBottom w:val="0"/>
      <w:divBdr>
        <w:top w:val="none" w:sz="0" w:space="0" w:color="auto"/>
        <w:left w:val="none" w:sz="0" w:space="0" w:color="auto"/>
        <w:bottom w:val="none" w:sz="0" w:space="0" w:color="auto"/>
        <w:right w:val="none" w:sz="0" w:space="0" w:color="auto"/>
      </w:divBdr>
    </w:div>
    <w:div w:id="110705283">
      <w:bodyDiv w:val="1"/>
      <w:marLeft w:val="0"/>
      <w:marRight w:val="0"/>
      <w:marTop w:val="0"/>
      <w:marBottom w:val="0"/>
      <w:divBdr>
        <w:top w:val="none" w:sz="0" w:space="0" w:color="auto"/>
        <w:left w:val="none" w:sz="0" w:space="0" w:color="auto"/>
        <w:bottom w:val="none" w:sz="0" w:space="0" w:color="auto"/>
        <w:right w:val="none" w:sz="0" w:space="0" w:color="auto"/>
      </w:divBdr>
    </w:div>
    <w:div w:id="170918649">
      <w:bodyDiv w:val="1"/>
      <w:marLeft w:val="0"/>
      <w:marRight w:val="0"/>
      <w:marTop w:val="0"/>
      <w:marBottom w:val="0"/>
      <w:divBdr>
        <w:top w:val="none" w:sz="0" w:space="0" w:color="auto"/>
        <w:left w:val="none" w:sz="0" w:space="0" w:color="auto"/>
        <w:bottom w:val="none" w:sz="0" w:space="0" w:color="auto"/>
        <w:right w:val="none" w:sz="0" w:space="0" w:color="auto"/>
      </w:divBdr>
    </w:div>
    <w:div w:id="185556797">
      <w:bodyDiv w:val="1"/>
      <w:marLeft w:val="0"/>
      <w:marRight w:val="0"/>
      <w:marTop w:val="0"/>
      <w:marBottom w:val="0"/>
      <w:divBdr>
        <w:top w:val="none" w:sz="0" w:space="0" w:color="auto"/>
        <w:left w:val="none" w:sz="0" w:space="0" w:color="auto"/>
        <w:bottom w:val="none" w:sz="0" w:space="0" w:color="auto"/>
        <w:right w:val="none" w:sz="0" w:space="0" w:color="auto"/>
      </w:divBdr>
    </w:div>
    <w:div w:id="242835615">
      <w:bodyDiv w:val="1"/>
      <w:marLeft w:val="0"/>
      <w:marRight w:val="0"/>
      <w:marTop w:val="0"/>
      <w:marBottom w:val="0"/>
      <w:divBdr>
        <w:top w:val="none" w:sz="0" w:space="0" w:color="auto"/>
        <w:left w:val="none" w:sz="0" w:space="0" w:color="auto"/>
        <w:bottom w:val="none" w:sz="0" w:space="0" w:color="auto"/>
        <w:right w:val="none" w:sz="0" w:space="0" w:color="auto"/>
      </w:divBdr>
    </w:div>
    <w:div w:id="245891165">
      <w:bodyDiv w:val="1"/>
      <w:marLeft w:val="0"/>
      <w:marRight w:val="0"/>
      <w:marTop w:val="0"/>
      <w:marBottom w:val="0"/>
      <w:divBdr>
        <w:top w:val="none" w:sz="0" w:space="0" w:color="auto"/>
        <w:left w:val="none" w:sz="0" w:space="0" w:color="auto"/>
        <w:bottom w:val="none" w:sz="0" w:space="0" w:color="auto"/>
        <w:right w:val="none" w:sz="0" w:space="0" w:color="auto"/>
      </w:divBdr>
    </w:div>
    <w:div w:id="313339795">
      <w:bodyDiv w:val="1"/>
      <w:marLeft w:val="0"/>
      <w:marRight w:val="0"/>
      <w:marTop w:val="0"/>
      <w:marBottom w:val="0"/>
      <w:divBdr>
        <w:top w:val="none" w:sz="0" w:space="0" w:color="auto"/>
        <w:left w:val="none" w:sz="0" w:space="0" w:color="auto"/>
        <w:bottom w:val="none" w:sz="0" w:space="0" w:color="auto"/>
        <w:right w:val="none" w:sz="0" w:space="0" w:color="auto"/>
      </w:divBdr>
    </w:div>
    <w:div w:id="321468376">
      <w:bodyDiv w:val="1"/>
      <w:marLeft w:val="0"/>
      <w:marRight w:val="0"/>
      <w:marTop w:val="0"/>
      <w:marBottom w:val="0"/>
      <w:divBdr>
        <w:top w:val="none" w:sz="0" w:space="0" w:color="auto"/>
        <w:left w:val="none" w:sz="0" w:space="0" w:color="auto"/>
        <w:bottom w:val="none" w:sz="0" w:space="0" w:color="auto"/>
        <w:right w:val="none" w:sz="0" w:space="0" w:color="auto"/>
      </w:divBdr>
    </w:div>
    <w:div w:id="346833984">
      <w:bodyDiv w:val="1"/>
      <w:marLeft w:val="0"/>
      <w:marRight w:val="0"/>
      <w:marTop w:val="0"/>
      <w:marBottom w:val="0"/>
      <w:divBdr>
        <w:top w:val="none" w:sz="0" w:space="0" w:color="auto"/>
        <w:left w:val="none" w:sz="0" w:space="0" w:color="auto"/>
        <w:bottom w:val="none" w:sz="0" w:space="0" w:color="auto"/>
        <w:right w:val="none" w:sz="0" w:space="0" w:color="auto"/>
      </w:divBdr>
    </w:div>
    <w:div w:id="365637412">
      <w:bodyDiv w:val="1"/>
      <w:marLeft w:val="0"/>
      <w:marRight w:val="0"/>
      <w:marTop w:val="0"/>
      <w:marBottom w:val="0"/>
      <w:divBdr>
        <w:top w:val="none" w:sz="0" w:space="0" w:color="auto"/>
        <w:left w:val="none" w:sz="0" w:space="0" w:color="auto"/>
        <w:bottom w:val="none" w:sz="0" w:space="0" w:color="auto"/>
        <w:right w:val="none" w:sz="0" w:space="0" w:color="auto"/>
      </w:divBdr>
    </w:div>
    <w:div w:id="380834963">
      <w:bodyDiv w:val="1"/>
      <w:marLeft w:val="0"/>
      <w:marRight w:val="0"/>
      <w:marTop w:val="0"/>
      <w:marBottom w:val="0"/>
      <w:divBdr>
        <w:top w:val="none" w:sz="0" w:space="0" w:color="auto"/>
        <w:left w:val="none" w:sz="0" w:space="0" w:color="auto"/>
        <w:bottom w:val="none" w:sz="0" w:space="0" w:color="auto"/>
        <w:right w:val="none" w:sz="0" w:space="0" w:color="auto"/>
      </w:divBdr>
    </w:div>
    <w:div w:id="396831127">
      <w:bodyDiv w:val="1"/>
      <w:marLeft w:val="0"/>
      <w:marRight w:val="0"/>
      <w:marTop w:val="0"/>
      <w:marBottom w:val="0"/>
      <w:divBdr>
        <w:top w:val="none" w:sz="0" w:space="0" w:color="auto"/>
        <w:left w:val="none" w:sz="0" w:space="0" w:color="auto"/>
        <w:bottom w:val="none" w:sz="0" w:space="0" w:color="auto"/>
        <w:right w:val="none" w:sz="0" w:space="0" w:color="auto"/>
      </w:divBdr>
    </w:div>
    <w:div w:id="423460820">
      <w:bodyDiv w:val="1"/>
      <w:marLeft w:val="0"/>
      <w:marRight w:val="0"/>
      <w:marTop w:val="0"/>
      <w:marBottom w:val="0"/>
      <w:divBdr>
        <w:top w:val="none" w:sz="0" w:space="0" w:color="auto"/>
        <w:left w:val="none" w:sz="0" w:space="0" w:color="auto"/>
        <w:bottom w:val="none" w:sz="0" w:space="0" w:color="auto"/>
        <w:right w:val="none" w:sz="0" w:space="0" w:color="auto"/>
      </w:divBdr>
    </w:div>
    <w:div w:id="545222645">
      <w:bodyDiv w:val="1"/>
      <w:marLeft w:val="0"/>
      <w:marRight w:val="0"/>
      <w:marTop w:val="0"/>
      <w:marBottom w:val="0"/>
      <w:divBdr>
        <w:top w:val="none" w:sz="0" w:space="0" w:color="auto"/>
        <w:left w:val="none" w:sz="0" w:space="0" w:color="auto"/>
        <w:bottom w:val="none" w:sz="0" w:space="0" w:color="auto"/>
        <w:right w:val="none" w:sz="0" w:space="0" w:color="auto"/>
      </w:divBdr>
    </w:div>
    <w:div w:id="570970855">
      <w:bodyDiv w:val="1"/>
      <w:marLeft w:val="0"/>
      <w:marRight w:val="0"/>
      <w:marTop w:val="0"/>
      <w:marBottom w:val="0"/>
      <w:divBdr>
        <w:top w:val="none" w:sz="0" w:space="0" w:color="auto"/>
        <w:left w:val="none" w:sz="0" w:space="0" w:color="auto"/>
        <w:bottom w:val="none" w:sz="0" w:space="0" w:color="auto"/>
        <w:right w:val="none" w:sz="0" w:space="0" w:color="auto"/>
      </w:divBdr>
    </w:div>
    <w:div w:id="710685541">
      <w:bodyDiv w:val="1"/>
      <w:marLeft w:val="0"/>
      <w:marRight w:val="0"/>
      <w:marTop w:val="0"/>
      <w:marBottom w:val="0"/>
      <w:divBdr>
        <w:top w:val="none" w:sz="0" w:space="0" w:color="auto"/>
        <w:left w:val="none" w:sz="0" w:space="0" w:color="auto"/>
        <w:bottom w:val="none" w:sz="0" w:space="0" w:color="auto"/>
        <w:right w:val="none" w:sz="0" w:space="0" w:color="auto"/>
      </w:divBdr>
    </w:div>
    <w:div w:id="807087091">
      <w:bodyDiv w:val="1"/>
      <w:marLeft w:val="0"/>
      <w:marRight w:val="0"/>
      <w:marTop w:val="0"/>
      <w:marBottom w:val="0"/>
      <w:divBdr>
        <w:top w:val="none" w:sz="0" w:space="0" w:color="auto"/>
        <w:left w:val="none" w:sz="0" w:space="0" w:color="auto"/>
        <w:bottom w:val="none" w:sz="0" w:space="0" w:color="auto"/>
        <w:right w:val="none" w:sz="0" w:space="0" w:color="auto"/>
      </w:divBdr>
    </w:div>
    <w:div w:id="827290131">
      <w:bodyDiv w:val="1"/>
      <w:marLeft w:val="0"/>
      <w:marRight w:val="0"/>
      <w:marTop w:val="0"/>
      <w:marBottom w:val="0"/>
      <w:divBdr>
        <w:top w:val="none" w:sz="0" w:space="0" w:color="auto"/>
        <w:left w:val="none" w:sz="0" w:space="0" w:color="auto"/>
        <w:bottom w:val="none" w:sz="0" w:space="0" w:color="auto"/>
        <w:right w:val="none" w:sz="0" w:space="0" w:color="auto"/>
      </w:divBdr>
    </w:div>
    <w:div w:id="872037545">
      <w:bodyDiv w:val="1"/>
      <w:marLeft w:val="0"/>
      <w:marRight w:val="0"/>
      <w:marTop w:val="0"/>
      <w:marBottom w:val="0"/>
      <w:divBdr>
        <w:top w:val="none" w:sz="0" w:space="0" w:color="auto"/>
        <w:left w:val="none" w:sz="0" w:space="0" w:color="auto"/>
        <w:bottom w:val="none" w:sz="0" w:space="0" w:color="auto"/>
        <w:right w:val="none" w:sz="0" w:space="0" w:color="auto"/>
      </w:divBdr>
    </w:div>
    <w:div w:id="922566947">
      <w:bodyDiv w:val="1"/>
      <w:marLeft w:val="0"/>
      <w:marRight w:val="0"/>
      <w:marTop w:val="0"/>
      <w:marBottom w:val="0"/>
      <w:divBdr>
        <w:top w:val="none" w:sz="0" w:space="0" w:color="auto"/>
        <w:left w:val="none" w:sz="0" w:space="0" w:color="auto"/>
        <w:bottom w:val="none" w:sz="0" w:space="0" w:color="auto"/>
        <w:right w:val="none" w:sz="0" w:space="0" w:color="auto"/>
      </w:divBdr>
    </w:div>
    <w:div w:id="1019501046">
      <w:bodyDiv w:val="1"/>
      <w:marLeft w:val="0"/>
      <w:marRight w:val="0"/>
      <w:marTop w:val="0"/>
      <w:marBottom w:val="0"/>
      <w:divBdr>
        <w:top w:val="none" w:sz="0" w:space="0" w:color="auto"/>
        <w:left w:val="none" w:sz="0" w:space="0" w:color="auto"/>
        <w:bottom w:val="none" w:sz="0" w:space="0" w:color="auto"/>
        <w:right w:val="none" w:sz="0" w:space="0" w:color="auto"/>
      </w:divBdr>
    </w:div>
    <w:div w:id="1062680243">
      <w:bodyDiv w:val="1"/>
      <w:marLeft w:val="0"/>
      <w:marRight w:val="0"/>
      <w:marTop w:val="0"/>
      <w:marBottom w:val="0"/>
      <w:divBdr>
        <w:top w:val="none" w:sz="0" w:space="0" w:color="auto"/>
        <w:left w:val="none" w:sz="0" w:space="0" w:color="auto"/>
        <w:bottom w:val="none" w:sz="0" w:space="0" w:color="auto"/>
        <w:right w:val="none" w:sz="0" w:space="0" w:color="auto"/>
      </w:divBdr>
    </w:div>
    <w:div w:id="1096901664">
      <w:bodyDiv w:val="1"/>
      <w:marLeft w:val="0"/>
      <w:marRight w:val="0"/>
      <w:marTop w:val="0"/>
      <w:marBottom w:val="0"/>
      <w:divBdr>
        <w:top w:val="none" w:sz="0" w:space="0" w:color="auto"/>
        <w:left w:val="none" w:sz="0" w:space="0" w:color="auto"/>
        <w:bottom w:val="none" w:sz="0" w:space="0" w:color="auto"/>
        <w:right w:val="none" w:sz="0" w:space="0" w:color="auto"/>
      </w:divBdr>
    </w:div>
    <w:div w:id="1123692025">
      <w:bodyDiv w:val="1"/>
      <w:marLeft w:val="0"/>
      <w:marRight w:val="0"/>
      <w:marTop w:val="0"/>
      <w:marBottom w:val="0"/>
      <w:divBdr>
        <w:top w:val="none" w:sz="0" w:space="0" w:color="auto"/>
        <w:left w:val="none" w:sz="0" w:space="0" w:color="auto"/>
        <w:bottom w:val="none" w:sz="0" w:space="0" w:color="auto"/>
        <w:right w:val="none" w:sz="0" w:space="0" w:color="auto"/>
      </w:divBdr>
    </w:div>
    <w:div w:id="1171725127">
      <w:bodyDiv w:val="1"/>
      <w:marLeft w:val="0"/>
      <w:marRight w:val="0"/>
      <w:marTop w:val="0"/>
      <w:marBottom w:val="0"/>
      <w:divBdr>
        <w:top w:val="none" w:sz="0" w:space="0" w:color="auto"/>
        <w:left w:val="none" w:sz="0" w:space="0" w:color="auto"/>
        <w:bottom w:val="none" w:sz="0" w:space="0" w:color="auto"/>
        <w:right w:val="none" w:sz="0" w:space="0" w:color="auto"/>
      </w:divBdr>
    </w:div>
    <w:div w:id="1188718357">
      <w:bodyDiv w:val="1"/>
      <w:marLeft w:val="0"/>
      <w:marRight w:val="0"/>
      <w:marTop w:val="0"/>
      <w:marBottom w:val="0"/>
      <w:divBdr>
        <w:top w:val="none" w:sz="0" w:space="0" w:color="auto"/>
        <w:left w:val="none" w:sz="0" w:space="0" w:color="auto"/>
        <w:bottom w:val="none" w:sz="0" w:space="0" w:color="auto"/>
        <w:right w:val="none" w:sz="0" w:space="0" w:color="auto"/>
      </w:divBdr>
    </w:div>
    <w:div w:id="1208374499">
      <w:bodyDiv w:val="1"/>
      <w:marLeft w:val="0"/>
      <w:marRight w:val="0"/>
      <w:marTop w:val="0"/>
      <w:marBottom w:val="0"/>
      <w:divBdr>
        <w:top w:val="none" w:sz="0" w:space="0" w:color="auto"/>
        <w:left w:val="none" w:sz="0" w:space="0" w:color="auto"/>
        <w:bottom w:val="none" w:sz="0" w:space="0" w:color="auto"/>
        <w:right w:val="none" w:sz="0" w:space="0" w:color="auto"/>
      </w:divBdr>
    </w:div>
    <w:div w:id="1229918781">
      <w:bodyDiv w:val="1"/>
      <w:marLeft w:val="0"/>
      <w:marRight w:val="0"/>
      <w:marTop w:val="0"/>
      <w:marBottom w:val="0"/>
      <w:divBdr>
        <w:top w:val="none" w:sz="0" w:space="0" w:color="auto"/>
        <w:left w:val="none" w:sz="0" w:space="0" w:color="auto"/>
        <w:bottom w:val="none" w:sz="0" w:space="0" w:color="auto"/>
        <w:right w:val="none" w:sz="0" w:space="0" w:color="auto"/>
      </w:divBdr>
    </w:div>
    <w:div w:id="1265921176">
      <w:bodyDiv w:val="1"/>
      <w:marLeft w:val="0"/>
      <w:marRight w:val="0"/>
      <w:marTop w:val="0"/>
      <w:marBottom w:val="0"/>
      <w:divBdr>
        <w:top w:val="none" w:sz="0" w:space="0" w:color="auto"/>
        <w:left w:val="none" w:sz="0" w:space="0" w:color="auto"/>
        <w:bottom w:val="none" w:sz="0" w:space="0" w:color="auto"/>
        <w:right w:val="none" w:sz="0" w:space="0" w:color="auto"/>
      </w:divBdr>
    </w:div>
    <w:div w:id="1441298066">
      <w:bodyDiv w:val="1"/>
      <w:marLeft w:val="0"/>
      <w:marRight w:val="0"/>
      <w:marTop w:val="0"/>
      <w:marBottom w:val="0"/>
      <w:divBdr>
        <w:top w:val="none" w:sz="0" w:space="0" w:color="auto"/>
        <w:left w:val="none" w:sz="0" w:space="0" w:color="auto"/>
        <w:bottom w:val="none" w:sz="0" w:space="0" w:color="auto"/>
        <w:right w:val="none" w:sz="0" w:space="0" w:color="auto"/>
      </w:divBdr>
    </w:div>
    <w:div w:id="1466778700">
      <w:bodyDiv w:val="1"/>
      <w:marLeft w:val="0"/>
      <w:marRight w:val="0"/>
      <w:marTop w:val="0"/>
      <w:marBottom w:val="0"/>
      <w:divBdr>
        <w:top w:val="none" w:sz="0" w:space="0" w:color="auto"/>
        <w:left w:val="none" w:sz="0" w:space="0" w:color="auto"/>
        <w:bottom w:val="none" w:sz="0" w:space="0" w:color="auto"/>
        <w:right w:val="none" w:sz="0" w:space="0" w:color="auto"/>
      </w:divBdr>
    </w:div>
    <w:div w:id="1556430901">
      <w:bodyDiv w:val="1"/>
      <w:marLeft w:val="0"/>
      <w:marRight w:val="0"/>
      <w:marTop w:val="0"/>
      <w:marBottom w:val="0"/>
      <w:divBdr>
        <w:top w:val="none" w:sz="0" w:space="0" w:color="auto"/>
        <w:left w:val="none" w:sz="0" w:space="0" w:color="auto"/>
        <w:bottom w:val="none" w:sz="0" w:space="0" w:color="auto"/>
        <w:right w:val="none" w:sz="0" w:space="0" w:color="auto"/>
      </w:divBdr>
    </w:div>
    <w:div w:id="1560365854">
      <w:bodyDiv w:val="1"/>
      <w:marLeft w:val="0"/>
      <w:marRight w:val="0"/>
      <w:marTop w:val="0"/>
      <w:marBottom w:val="0"/>
      <w:divBdr>
        <w:top w:val="none" w:sz="0" w:space="0" w:color="auto"/>
        <w:left w:val="none" w:sz="0" w:space="0" w:color="auto"/>
        <w:bottom w:val="none" w:sz="0" w:space="0" w:color="auto"/>
        <w:right w:val="none" w:sz="0" w:space="0" w:color="auto"/>
      </w:divBdr>
    </w:div>
    <w:div w:id="1581406862">
      <w:bodyDiv w:val="1"/>
      <w:marLeft w:val="0"/>
      <w:marRight w:val="0"/>
      <w:marTop w:val="0"/>
      <w:marBottom w:val="0"/>
      <w:divBdr>
        <w:top w:val="none" w:sz="0" w:space="0" w:color="auto"/>
        <w:left w:val="none" w:sz="0" w:space="0" w:color="auto"/>
        <w:bottom w:val="none" w:sz="0" w:space="0" w:color="auto"/>
        <w:right w:val="none" w:sz="0" w:space="0" w:color="auto"/>
      </w:divBdr>
    </w:div>
    <w:div w:id="1659991550">
      <w:bodyDiv w:val="1"/>
      <w:marLeft w:val="0"/>
      <w:marRight w:val="0"/>
      <w:marTop w:val="0"/>
      <w:marBottom w:val="0"/>
      <w:divBdr>
        <w:top w:val="none" w:sz="0" w:space="0" w:color="auto"/>
        <w:left w:val="none" w:sz="0" w:space="0" w:color="auto"/>
        <w:bottom w:val="none" w:sz="0" w:space="0" w:color="auto"/>
        <w:right w:val="none" w:sz="0" w:space="0" w:color="auto"/>
      </w:divBdr>
    </w:div>
    <w:div w:id="1696426079">
      <w:bodyDiv w:val="1"/>
      <w:marLeft w:val="0"/>
      <w:marRight w:val="0"/>
      <w:marTop w:val="0"/>
      <w:marBottom w:val="0"/>
      <w:divBdr>
        <w:top w:val="none" w:sz="0" w:space="0" w:color="auto"/>
        <w:left w:val="none" w:sz="0" w:space="0" w:color="auto"/>
        <w:bottom w:val="none" w:sz="0" w:space="0" w:color="auto"/>
        <w:right w:val="none" w:sz="0" w:space="0" w:color="auto"/>
      </w:divBdr>
    </w:div>
    <w:div w:id="1747452780">
      <w:bodyDiv w:val="1"/>
      <w:marLeft w:val="0"/>
      <w:marRight w:val="0"/>
      <w:marTop w:val="0"/>
      <w:marBottom w:val="0"/>
      <w:divBdr>
        <w:top w:val="none" w:sz="0" w:space="0" w:color="auto"/>
        <w:left w:val="none" w:sz="0" w:space="0" w:color="auto"/>
        <w:bottom w:val="none" w:sz="0" w:space="0" w:color="auto"/>
        <w:right w:val="none" w:sz="0" w:space="0" w:color="auto"/>
      </w:divBdr>
    </w:div>
    <w:div w:id="1750300112">
      <w:bodyDiv w:val="1"/>
      <w:marLeft w:val="0"/>
      <w:marRight w:val="0"/>
      <w:marTop w:val="0"/>
      <w:marBottom w:val="0"/>
      <w:divBdr>
        <w:top w:val="none" w:sz="0" w:space="0" w:color="auto"/>
        <w:left w:val="none" w:sz="0" w:space="0" w:color="auto"/>
        <w:bottom w:val="none" w:sz="0" w:space="0" w:color="auto"/>
        <w:right w:val="none" w:sz="0" w:space="0" w:color="auto"/>
      </w:divBdr>
    </w:div>
    <w:div w:id="1827475242">
      <w:bodyDiv w:val="1"/>
      <w:marLeft w:val="0"/>
      <w:marRight w:val="0"/>
      <w:marTop w:val="0"/>
      <w:marBottom w:val="0"/>
      <w:divBdr>
        <w:top w:val="none" w:sz="0" w:space="0" w:color="auto"/>
        <w:left w:val="none" w:sz="0" w:space="0" w:color="auto"/>
        <w:bottom w:val="none" w:sz="0" w:space="0" w:color="auto"/>
        <w:right w:val="none" w:sz="0" w:space="0" w:color="auto"/>
      </w:divBdr>
    </w:div>
    <w:div w:id="1855149999">
      <w:bodyDiv w:val="1"/>
      <w:marLeft w:val="0"/>
      <w:marRight w:val="0"/>
      <w:marTop w:val="0"/>
      <w:marBottom w:val="0"/>
      <w:divBdr>
        <w:top w:val="none" w:sz="0" w:space="0" w:color="auto"/>
        <w:left w:val="none" w:sz="0" w:space="0" w:color="auto"/>
        <w:bottom w:val="none" w:sz="0" w:space="0" w:color="auto"/>
        <w:right w:val="none" w:sz="0" w:space="0" w:color="auto"/>
      </w:divBdr>
    </w:div>
    <w:div w:id="1900822270">
      <w:bodyDiv w:val="1"/>
      <w:marLeft w:val="0"/>
      <w:marRight w:val="0"/>
      <w:marTop w:val="0"/>
      <w:marBottom w:val="0"/>
      <w:divBdr>
        <w:top w:val="none" w:sz="0" w:space="0" w:color="auto"/>
        <w:left w:val="none" w:sz="0" w:space="0" w:color="auto"/>
        <w:bottom w:val="none" w:sz="0" w:space="0" w:color="auto"/>
        <w:right w:val="none" w:sz="0" w:space="0" w:color="auto"/>
      </w:divBdr>
    </w:div>
    <w:div w:id="1904096830">
      <w:bodyDiv w:val="1"/>
      <w:marLeft w:val="0"/>
      <w:marRight w:val="0"/>
      <w:marTop w:val="0"/>
      <w:marBottom w:val="0"/>
      <w:divBdr>
        <w:top w:val="none" w:sz="0" w:space="0" w:color="auto"/>
        <w:left w:val="none" w:sz="0" w:space="0" w:color="auto"/>
        <w:bottom w:val="none" w:sz="0" w:space="0" w:color="auto"/>
        <w:right w:val="none" w:sz="0" w:space="0" w:color="auto"/>
      </w:divBdr>
    </w:div>
    <w:div w:id="1915699856">
      <w:bodyDiv w:val="1"/>
      <w:marLeft w:val="0"/>
      <w:marRight w:val="0"/>
      <w:marTop w:val="0"/>
      <w:marBottom w:val="0"/>
      <w:divBdr>
        <w:top w:val="none" w:sz="0" w:space="0" w:color="auto"/>
        <w:left w:val="none" w:sz="0" w:space="0" w:color="auto"/>
        <w:bottom w:val="none" w:sz="0" w:space="0" w:color="auto"/>
        <w:right w:val="none" w:sz="0" w:space="0" w:color="auto"/>
      </w:divBdr>
    </w:div>
    <w:div w:id="1991516383">
      <w:bodyDiv w:val="1"/>
      <w:marLeft w:val="0"/>
      <w:marRight w:val="0"/>
      <w:marTop w:val="0"/>
      <w:marBottom w:val="0"/>
      <w:divBdr>
        <w:top w:val="none" w:sz="0" w:space="0" w:color="auto"/>
        <w:left w:val="none" w:sz="0" w:space="0" w:color="auto"/>
        <w:bottom w:val="none" w:sz="0" w:space="0" w:color="auto"/>
        <w:right w:val="none" w:sz="0" w:space="0" w:color="auto"/>
      </w:divBdr>
    </w:div>
    <w:div w:id="2014405780">
      <w:bodyDiv w:val="1"/>
      <w:marLeft w:val="0"/>
      <w:marRight w:val="0"/>
      <w:marTop w:val="0"/>
      <w:marBottom w:val="0"/>
      <w:divBdr>
        <w:top w:val="none" w:sz="0" w:space="0" w:color="auto"/>
        <w:left w:val="none" w:sz="0" w:space="0" w:color="auto"/>
        <w:bottom w:val="none" w:sz="0" w:space="0" w:color="auto"/>
        <w:right w:val="none" w:sz="0" w:space="0" w:color="auto"/>
      </w:divBdr>
    </w:div>
    <w:div w:id="2039156040">
      <w:bodyDiv w:val="1"/>
      <w:marLeft w:val="0"/>
      <w:marRight w:val="0"/>
      <w:marTop w:val="0"/>
      <w:marBottom w:val="0"/>
      <w:divBdr>
        <w:top w:val="none" w:sz="0" w:space="0" w:color="auto"/>
        <w:left w:val="none" w:sz="0" w:space="0" w:color="auto"/>
        <w:bottom w:val="none" w:sz="0" w:space="0" w:color="auto"/>
        <w:right w:val="none" w:sz="0" w:space="0" w:color="auto"/>
      </w:divBdr>
    </w:div>
    <w:div w:id="20891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40F6.BF0E59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Nuclear Decommissioning Authority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William</dc:creator>
  <cp:lastModifiedBy>Wood, Shana</cp:lastModifiedBy>
  <cp:revision>4</cp:revision>
  <dcterms:created xsi:type="dcterms:W3CDTF">2021-05-17T08:57:00Z</dcterms:created>
  <dcterms:modified xsi:type="dcterms:W3CDTF">2021-05-17T09:15:00Z</dcterms:modified>
</cp:coreProperties>
</file>