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13E6" w14:textId="5F8FC38F" w:rsidR="008616FD" w:rsidRDefault="008616FD" w:rsidP="00EF4D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6916A37" wp14:editId="02BEAB96">
            <wp:simplePos x="0" y="0"/>
            <wp:positionH relativeFrom="page">
              <wp:posOffset>5589814</wp:posOffset>
            </wp:positionH>
            <wp:positionV relativeFrom="paragraph">
              <wp:posOffset>-912644</wp:posOffset>
            </wp:positionV>
            <wp:extent cx="1853565" cy="773818"/>
            <wp:effectExtent l="0" t="0" r="0" b="762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77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5B49AD" w14:textId="3842F183" w:rsidR="00EF4DA9" w:rsidRPr="00EF4DA9" w:rsidRDefault="0000015E" w:rsidP="008616FD">
      <w:pPr>
        <w:pStyle w:val="Heading1"/>
        <w:jc w:val="center"/>
      </w:pPr>
      <w:r>
        <w:t xml:space="preserve">NWS </w:t>
      </w:r>
      <w:r w:rsidR="00EF4DA9" w:rsidRPr="00EF4DA9">
        <w:t xml:space="preserve">RSO </w:t>
      </w:r>
      <w:r w:rsidR="00C82E5B">
        <w:t>p</w:t>
      </w:r>
      <w:r w:rsidR="00CD508B">
        <w:t>ost-doctoral</w:t>
      </w:r>
      <w:r w:rsidR="00EF4DA9" w:rsidRPr="00EF4DA9">
        <w:t xml:space="preserve"> call</w:t>
      </w:r>
      <w:r w:rsidR="00A1706B">
        <w:t xml:space="preserve"> in “</w:t>
      </w:r>
      <w:r w:rsidR="007D2CB8">
        <w:rPr>
          <w:bCs/>
        </w:rPr>
        <w:t xml:space="preserve">Understanding the Mechanisms of Zirconolite </w:t>
      </w:r>
      <w:r w:rsidR="007D2CB8" w:rsidRPr="00B91B21">
        <w:t>L</w:t>
      </w:r>
      <w:r w:rsidR="007D2CB8">
        <w:rPr>
          <w:bCs/>
        </w:rPr>
        <w:t>eaching</w:t>
      </w:r>
      <w:r w:rsidR="00A1706B">
        <w:t>”</w:t>
      </w:r>
      <w:r w:rsidR="00EF4DA9" w:rsidRPr="00EF4DA9">
        <w:t xml:space="preserve">: </w:t>
      </w:r>
      <w:r w:rsidR="00BE55D3">
        <w:t>g</w:t>
      </w:r>
      <w:r w:rsidR="00EF4DA9" w:rsidRPr="00EF4DA9">
        <w:t xml:space="preserve">uidance for submission and </w:t>
      </w:r>
      <w:r w:rsidR="009D06F4">
        <w:t>evaluation</w:t>
      </w:r>
      <w:r w:rsidR="00EF4DA9" w:rsidRPr="00EF4DA9">
        <w:t xml:space="preserve"> criteria</w:t>
      </w:r>
    </w:p>
    <w:p w14:paraId="4C392E7B" w14:textId="29BE9E52" w:rsidR="00EF4DA9" w:rsidRPr="008616FD" w:rsidRDefault="00EF4DA9" w:rsidP="008616FD">
      <w:pPr>
        <w:pStyle w:val="NoSpacing"/>
      </w:pPr>
    </w:p>
    <w:p w14:paraId="10CC7AA5" w14:textId="77777777" w:rsidR="008616FD" w:rsidRPr="008616FD" w:rsidRDefault="008616FD" w:rsidP="008616FD">
      <w:pPr>
        <w:pStyle w:val="NoSpacing"/>
      </w:pPr>
    </w:p>
    <w:p w14:paraId="5F49C73B" w14:textId="5AD024DC" w:rsidR="00A21B51" w:rsidRPr="00B13DE3" w:rsidRDefault="00040B51" w:rsidP="00C82E5B">
      <w:pPr>
        <w:pStyle w:val="NoSpacing"/>
        <w:jc w:val="both"/>
      </w:pPr>
      <w:r w:rsidRPr="00B13DE3">
        <w:t>Nuclear Waste Services</w:t>
      </w:r>
      <w:r w:rsidR="001F382F" w:rsidRPr="00B13DE3">
        <w:t xml:space="preserve"> (NWS)</w:t>
      </w:r>
      <w:r w:rsidRPr="00B13DE3">
        <w:t xml:space="preserve">, via their </w:t>
      </w:r>
      <w:r w:rsidR="00EF4DA9" w:rsidRPr="00B13DE3">
        <w:t>Research Support Office (</w:t>
      </w:r>
      <w:r w:rsidR="00B80339" w:rsidRPr="00B13DE3">
        <w:t xml:space="preserve">NWS </w:t>
      </w:r>
      <w:r w:rsidR="00EF4DA9" w:rsidRPr="00B13DE3">
        <w:t xml:space="preserve">RSO) is requesting applications </w:t>
      </w:r>
      <w:r w:rsidR="00CD508B" w:rsidRPr="00B13DE3">
        <w:t xml:space="preserve">for a </w:t>
      </w:r>
      <w:r w:rsidR="00C82E5B" w:rsidRPr="00B13DE3">
        <w:t>P</w:t>
      </w:r>
      <w:r w:rsidR="00CD508B" w:rsidRPr="00B13DE3">
        <w:t>ost-</w:t>
      </w:r>
      <w:r w:rsidR="00C82E5B" w:rsidRPr="00B13DE3">
        <w:t>D</w:t>
      </w:r>
      <w:r w:rsidR="00CD508B" w:rsidRPr="00B13DE3">
        <w:t>octoral</w:t>
      </w:r>
      <w:r w:rsidR="008F470C" w:rsidRPr="00B13DE3">
        <w:t xml:space="preserve"> </w:t>
      </w:r>
      <w:r w:rsidR="00C82E5B" w:rsidRPr="00B13DE3">
        <w:t>R</w:t>
      </w:r>
      <w:r w:rsidR="00EF4DA9" w:rsidRPr="00B13DE3">
        <w:t>esearch</w:t>
      </w:r>
      <w:r w:rsidR="00C82E5B" w:rsidRPr="00B13DE3">
        <w:t xml:space="preserve"> Associate (PDRA)</w:t>
      </w:r>
      <w:r w:rsidR="00CD508B" w:rsidRPr="00B13DE3">
        <w:t xml:space="preserve"> project</w:t>
      </w:r>
      <w:r w:rsidR="00EF4DA9" w:rsidRPr="00B13DE3">
        <w:t xml:space="preserve"> </w:t>
      </w:r>
      <w:r w:rsidR="001F382F" w:rsidRPr="00B13DE3">
        <w:t>“</w:t>
      </w:r>
      <w:r w:rsidR="001F382F" w:rsidRPr="00B13DE3">
        <w:rPr>
          <w:b/>
          <w:bCs/>
          <w:i/>
          <w:iCs/>
        </w:rPr>
        <w:t>Understanding the Mechanisms of Zirconolite Leaching</w:t>
      </w:r>
      <w:r w:rsidR="001F382F" w:rsidRPr="00B13DE3">
        <w:t xml:space="preserve">” </w:t>
      </w:r>
      <w:r w:rsidR="00EF4DA9" w:rsidRPr="00B13DE3">
        <w:t xml:space="preserve">in </w:t>
      </w:r>
      <w:r w:rsidR="00351AE7" w:rsidRPr="00B13DE3">
        <w:t>the Materials Science</w:t>
      </w:r>
      <w:r w:rsidR="001F382F" w:rsidRPr="00B13DE3">
        <w:t xml:space="preserve"> area.</w:t>
      </w:r>
    </w:p>
    <w:p w14:paraId="6D0B301B" w14:textId="77777777" w:rsidR="00A21B51" w:rsidRPr="00B13DE3" w:rsidRDefault="00A21B51" w:rsidP="0046540C">
      <w:pPr>
        <w:pStyle w:val="NoSpacing"/>
      </w:pPr>
    </w:p>
    <w:p w14:paraId="680AC19E" w14:textId="22FB5D7D" w:rsidR="0046540C" w:rsidRPr="00B13DE3" w:rsidRDefault="0046540C" w:rsidP="00C82E5B">
      <w:pPr>
        <w:pStyle w:val="NoSpacing"/>
        <w:jc w:val="both"/>
      </w:pPr>
      <w:r w:rsidRPr="00B13DE3">
        <w:t xml:space="preserve">The aim of the </w:t>
      </w:r>
      <w:r w:rsidR="00B80339" w:rsidRPr="00B13DE3">
        <w:t>NWS</w:t>
      </w:r>
      <w:r w:rsidRPr="00B13DE3">
        <w:t xml:space="preserve"> RSO is to develop a portfolio of</w:t>
      </w:r>
      <w:r w:rsidR="00CD508B" w:rsidRPr="00B13DE3">
        <w:t xml:space="preserve"> research</w:t>
      </w:r>
      <w:r w:rsidRPr="00B13DE3">
        <w:t xml:space="preserve"> projects focused on </w:t>
      </w:r>
      <w:r w:rsidR="00B80339" w:rsidRPr="00B13DE3">
        <w:t>NWS</w:t>
      </w:r>
      <w:r w:rsidRPr="00B13DE3">
        <w:t xml:space="preserve"> research priorities. The specific aims of the </w:t>
      </w:r>
      <w:r w:rsidR="007D141C" w:rsidRPr="00B13DE3">
        <w:t>NWS RSO</w:t>
      </w:r>
      <w:r w:rsidRPr="00B13DE3">
        <w:t xml:space="preserve"> are to:</w:t>
      </w:r>
    </w:p>
    <w:p w14:paraId="7FB2B864" w14:textId="77777777" w:rsidR="0046540C" w:rsidRPr="00B13DE3" w:rsidRDefault="0046540C" w:rsidP="00C82E5B">
      <w:pPr>
        <w:pStyle w:val="NoSpacing"/>
        <w:jc w:val="both"/>
      </w:pPr>
    </w:p>
    <w:p w14:paraId="0658C70C" w14:textId="09C5CAB1" w:rsidR="0046540C" w:rsidRPr="00B13DE3" w:rsidRDefault="0046540C" w:rsidP="00C82E5B">
      <w:pPr>
        <w:pStyle w:val="NoSpacing"/>
        <w:numPr>
          <w:ilvl w:val="0"/>
          <w:numId w:val="3"/>
        </w:numPr>
        <w:ind w:left="993" w:hanging="633"/>
        <w:jc w:val="both"/>
      </w:pPr>
      <w:r w:rsidRPr="00B13DE3">
        <w:t xml:space="preserve">Develop </w:t>
      </w:r>
      <w:r w:rsidR="007D141C" w:rsidRPr="00B13DE3">
        <w:t>the high</w:t>
      </w:r>
      <w:r w:rsidR="00C82E5B" w:rsidRPr="00B13DE3">
        <w:t>-</w:t>
      </w:r>
      <w:r w:rsidR="007D141C" w:rsidRPr="00B13DE3">
        <w:t>level</w:t>
      </w:r>
      <w:r w:rsidRPr="00B13DE3">
        <w:t xml:space="preserve"> skills required for </w:t>
      </w:r>
      <w:r w:rsidR="00C82E5B" w:rsidRPr="00B13DE3">
        <w:t xml:space="preserve">the </w:t>
      </w:r>
      <w:r w:rsidR="00B80339" w:rsidRPr="00B13DE3">
        <w:t>NWS</w:t>
      </w:r>
      <w:r w:rsidRPr="00B13DE3">
        <w:t xml:space="preserve"> research mission over the coming decades, and to help deliver the next generation of geological disposal </w:t>
      </w:r>
      <w:r w:rsidR="00285574" w:rsidRPr="00B13DE3">
        <w:t>researchers</w:t>
      </w:r>
      <w:r w:rsidR="00C82E5B" w:rsidRPr="00B13DE3">
        <w:t>.</w:t>
      </w:r>
    </w:p>
    <w:p w14:paraId="2078FE9D" w14:textId="7AA38A98" w:rsidR="00A21B51" w:rsidRPr="00B13DE3" w:rsidRDefault="00A21B51" w:rsidP="00C82E5B">
      <w:pPr>
        <w:pStyle w:val="NoSpacing"/>
        <w:numPr>
          <w:ilvl w:val="0"/>
          <w:numId w:val="3"/>
        </w:numPr>
        <w:ind w:left="993" w:hanging="633"/>
        <w:jc w:val="both"/>
      </w:pPr>
      <w:r w:rsidRPr="00B13DE3">
        <w:t xml:space="preserve">Expand the </w:t>
      </w:r>
      <w:r w:rsidR="007D141C" w:rsidRPr="00B13DE3">
        <w:t xml:space="preserve">academic </w:t>
      </w:r>
      <w:r w:rsidRPr="00B13DE3">
        <w:t>geological disposal research community throughout the UK</w:t>
      </w:r>
      <w:r w:rsidR="007D141C" w:rsidRPr="00B13DE3">
        <w:t xml:space="preserve"> and internationally</w:t>
      </w:r>
      <w:r w:rsidR="00C82E5B" w:rsidRPr="00B13DE3">
        <w:t>.</w:t>
      </w:r>
    </w:p>
    <w:p w14:paraId="16743F36" w14:textId="3B92649A" w:rsidR="0046540C" w:rsidRPr="00B13DE3" w:rsidRDefault="0046540C" w:rsidP="00C82E5B">
      <w:pPr>
        <w:pStyle w:val="NoSpacing"/>
        <w:numPr>
          <w:ilvl w:val="0"/>
          <w:numId w:val="3"/>
        </w:numPr>
        <w:ind w:left="993" w:hanging="633"/>
        <w:jc w:val="both"/>
      </w:pPr>
      <w:r w:rsidRPr="00B13DE3">
        <w:t xml:space="preserve">Encourage collaboration and communication between </w:t>
      </w:r>
      <w:r w:rsidR="00B80339" w:rsidRPr="00B13DE3">
        <w:t>NWS</w:t>
      </w:r>
      <w:r w:rsidRPr="00B13DE3">
        <w:t xml:space="preserve"> and the academic community</w:t>
      </w:r>
      <w:r w:rsidR="00A21B51" w:rsidRPr="00B13DE3">
        <w:t>.</w:t>
      </w:r>
    </w:p>
    <w:p w14:paraId="7E031596" w14:textId="716C669B" w:rsidR="00EF4DA9" w:rsidRPr="00B13DE3" w:rsidRDefault="00EF4DA9" w:rsidP="00EF4DA9">
      <w:pPr>
        <w:pStyle w:val="NoSpacing"/>
      </w:pPr>
    </w:p>
    <w:p w14:paraId="2214B5E7" w14:textId="03FB5ADA" w:rsidR="006E58DA" w:rsidRPr="00B13DE3" w:rsidRDefault="006E58DA" w:rsidP="00886195">
      <w:pPr>
        <w:pStyle w:val="NoSpacing"/>
        <w:jc w:val="both"/>
      </w:pPr>
      <w:r w:rsidRPr="00B13DE3">
        <w:t>The</w:t>
      </w:r>
      <w:r w:rsidR="00A21B51" w:rsidRPr="00B13DE3">
        <w:t xml:space="preserve"> </w:t>
      </w:r>
      <w:r w:rsidR="008F470C" w:rsidRPr="00B13DE3">
        <w:t xml:space="preserve">research </w:t>
      </w:r>
      <w:r w:rsidR="00353E12" w:rsidRPr="00B13DE3">
        <w:t>project</w:t>
      </w:r>
      <w:r w:rsidR="008F470C" w:rsidRPr="00B13DE3">
        <w:t xml:space="preserve"> in </w:t>
      </w:r>
      <w:r w:rsidR="00585C19" w:rsidRPr="00B13DE3">
        <w:t xml:space="preserve">Materials Science </w:t>
      </w:r>
      <w:r w:rsidR="00285574" w:rsidRPr="00B13DE3">
        <w:t>is expected to</w:t>
      </w:r>
      <w:r w:rsidRPr="00B13DE3">
        <w:t xml:space="preserve"> </w:t>
      </w:r>
      <w:r w:rsidR="00285574" w:rsidRPr="00B13DE3">
        <w:t xml:space="preserve">have a duration of </w:t>
      </w:r>
      <w:r w:rsidR="00585C19" w:rsidRPr="00B13DE3">
        <w:t>24</w:t>
      </w:r>
      <w:r w:rsidR="00353E12" w:rsidRPr="00B13DE3">
        <w:t xml:space="preserve"> months</w:t>
      </w:r>
      <w:r w:rsidR="007C6EA5" w:rsidRPr="00B13DE3">
        <w:t xml:space="preserve">, </w:t>
      </w:r>
      <w:r w:rsidR="00285574" w:rsidRPr="00B13DE3">
        <w:t xml:space="preserve">and the target start date is </w:t>
      </w:r>
      <w:r w:rsidR="00585C19" w:rsidRPr="00B13DE3">
        <w:t>July 2024</w:t>
      </w:r>
      <w:r w:rsidRPr="00B13DE3">
        <w:t>.</w:t>
      </w:r>
      <w:r w:rsidR="007C6EA5" w:rsidRPr="00B13DE3">
        <w:t xml:space="preserve"> </w:t>
      </w:r>
      <w:r w:rsidR="00353E12" w:rsidRPr="00B13DE3">
        <w:t>The</w:t>
      </w:r>
      <w:r w:rsidRPr="00B13DE3">
        <w:t xml:space="preserve"> project proposal </w:t>
      </w:r>
      <w:r w:rsidR="00285574" w:rsidRPr="00B13DE3">
        <w:t xml:space="preserve">indicative budget is </w:t>
      </w:r>
      <w:r w:rsidRPr="00B13DE3">
        <w:t>£</w:t>
      </w:r>
      <w:r w:rsidR="00585C19" w:rsidRPr="00B13DE3">
        <w:t>350</w:t>
      </w:r>
      <w:r w:rsidRPr="00B13DE3">
        <w:t xml:space="preserve">,000. The </w:t>
      </w:r>
      <w:r w:rsidR="00285574" w:rsidRPr="00B13DE3">
        <w:t xml:space="preserve">assessment and </w:t>
      </w:r>
      <w:r w:rsidRPr="00B13DE3">
        <w:t xml:space="preserve">contractual arrangements for the </w:t>
      </w:r>
      <w:r w:rsidR="00353E12" w:rsidRPr="00B13DE3">
        <w:t>project</w:t>
      </w:r>
      <w:r w:rsidRPr="00B13DE3">
        <w:t xml:space="preserve"> will be administered by </w:t>
      </w:r>
      <w:r w:rsidR="001F382F" w:rsidRPr="00B13DE3">
        <w:t>Nuclear Waste Services</w:t>
      </w:r>
      <w:r w:rsidRPr="00B13DE3">
        <w:t>.</w:t>
      </w:r>
      <w:r w:rsidR="00DB11E9" w:rsidRPr="00B13DE3">
        <w:t xml:space="preserve"> </w:t>
      </w:r>
      <w:r w:rsidR="007D141C" w:rsidRPr="00B13DE3">
        <w:t>The NWS RSO</w:t>
      </w:r>
      <w:r w:rsidR="00DB11E9" w:rsidRPr="00B13DE3">
        <w:t xml:space="preserve"> </w:t>
      </w:r>
      <w:r w:rsidR="007D141C" w:rsidRPr="00B13DE3">
        <w:t>is</w:t>
      </w:r>
      <w:r w:rsidR="00DB11E9" w:rsidRPr="00B13DE3">
        <w:t xml:space="preserve"> seeking proposals from academic</w:t>
      </w:r>
      <w:r w:rsidR="00285574" w:rsidRPr="00B13DE3">
        <w:t xml:space="preserve"> lead investigators</w:t>
      </w:r>
      <w:r w:rsidR="00DB11E9" w:rsidRPr="00B13DE3">
        <w:t xml:space="preserve"> </w:t>
      </w:r>
      <w:r w:rsidR="007D141C" w:rsidRPr="00B13DE3">
        <w:t xml:space="preserve">for </w:t>
      </w:r>
      <w:r w:rsidR="00DB11E9" w:rsidRPr="00B13DE3">
        <w:t xml:space="preserve">a PDRA </w:t>
      </w:r>
      <w:r w:rsidR="007D141C" w:rsidRPr="00B13DE3">
        <w:t xml:space="preserve">based project </w:t>
      </w:r>
      <w:r w:rsidR="00DB11E9" w:rsidRPr="00B13DE3">
        <w:t>with</w:t>
      </w:r>
      <w:r w:rsidR="00285574" w:rsidRPr="00B13DE3">
        <w:t>in their group</w:t>
      </w:r>
      <w:r w:rsidR="007D141C" w:rsidRPr="00B13DE3">
        <w:t>. The lead investigator</w:t>
      </w:r>
      <w:r w:rsidR="00285574" w:rsidRPr="00B13DE3">
        <w:t xml:space="preserve"> and </w:t>
      </w:r>
      <w:r w:rsidR="00DB11E9" w:rsidRPr="00B13DE3">
        <w:t xml:space="preserve">will be responsible for recruiting a suitable candidate </w:t>
      </w:r>
      <w:r w:rsidR="00285574" w:rsidRPr="00B13DE3">
        <w:t>by the target award start date</w:t>
      </w:r>
      <w:r w:rsidR="00F215EB" w:rsidRPr="00B13DE3">
        <w:t>.</w:t>
      </w:r>
    </w:p>
    <w:p w14:paraId="1D8C07FB" w14:textId="77777777" w:rsidR="00EF4DA9" w:rsidRDefault="00EF4DA9" w:rsidP="00EF4DA9">
      <w:pPr>
        <w:pStyle w:val="NoSpacing"/>
      </w:pPr>
    </w:p>
    <w:p w14:paraId="6EC989BC" w14:textId="41CDDDD1" w:rsidR="00EF4DA9" w:rsidRPr="00886195" w:rsidRDefault="00EF4DA9" w:rsidP="00886195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Call </w:t>
      </w:r>
      <w:r w:rsidR="00886195">
        <w:rPr>
          <w:rFonts w:eastAsiaTheme="minorHAnsi"/>
        </w:rPr>
        <w:t>S</w:t>
      </w:r>
      <w:r>
        <w:rPr>
          <w:rFonts w:eastAsiaTheme="minorHAnsi"/>
        </w:rPr>
        <w:t>tructure</w:t>
      </w:r>
    </w:p>
    <w:p w14:paraId="4AD2E9CF" w14:textId="77777777" w:rsidR="00D35116" w:rsidRPr="004A426E" w:rsidRDefault="00D35116" w:rsidP="00D351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5116" w:rsidRPr="004A426E" w14:paraId="641B5EBE" w14:textId="77777777" w:rsidTr="00F972DB">
        <w:tc>
          <w:tcPr>
            <w:tcW w:w="4508" w:type="dxa"/>
          </w:tcPr>
          <w:p w14:paraId="18609341" w14:textId="77777777" w:rsidR="00D35116" w:rsidRPr="004A426E" w:rsidRDefault="00D35116" w:rsidP="00F972DB">
            <w:pPr>
              <w:pStyle w:val="NoSpacing"/>
            </w:pPr>
            <w:r w:rsidRPr="004A426E">
              <w:t>Request for proposal sent on:</w:t>
            </w:r>
          </w:p>
        </w:tc>
        <w:tc>
          <w:tcPr>
            <w:tcW w:w="4508" w:type="dxa"/>
          </w:tcPr>
          <w:p w14:paraId="4BFDD684" w14:textId="06703F81" w:rsidR="00D35116" w:rsidRPr="004A426E" w:rsidRDefault="00C91D5C" w:rsidP="00F972DB">
            <w:pPr>
              <w:pStyle w:val="NoSpacing"/>
            </w:pPr>
            <w:r>
              <w:t>2</w:t>
            </w:r>
            <w:r w:rsidR="00DF531B">
              <w:t>7</w:t>
            </w:r>
            <w:r w:rsidR="00DF531B" w:rsidRPr="00DF531B">
              <w:rPr>
                <w:vertAlign w:val="superscript"/>
              </w:rPr>
              <w:t>th</w:t>
            </w:r>
            <w:r w:rsidR="00DF531B">
              <w:t xml:space="preserve"> May</w:t>
            </w:r>
            <w:r w:rsidR="00B357B5">
              <w:t xml:space="preserve"> 2024</w:t>
            </w:r>
          </w:p>
        </w:tc>
      </w:tr>
      <w:tr w:rsidR="00D35116" w:rsidRPr="004A426E" w14:paraId="77B14FB9" w14:textId="77777777" w:rsidTr="00F972DB">
        <w:tc>
          <w:tcPr>
            <w:tcW w:w="4508" w:type="dxa"/>
          </w:tcPr>
          <w:p w14:paraId="090E823B" w14:textId="77777777" w:rsidR="00D35116" w:rsidRPr="004A426E" w:rsidRDefault="00D35116" w:rsidP="00F972DB">
            <w:pPr>
              <w:pStyle w:val="NoSpacing"/>
            </w:pPr>
            <w:r w:rsidRPr="004A426E">
              <w:t>Clarifications period closes on:</w:t>
            </w:r>
          </w:p>
        </w:tc>
        <w:tc>
          <w:tcPr>
            <w:tcW w:w="4508" w:type="dxa"/>
          </w:tcPr>
          <w:p w14:paraId="0CA6D7CB" w14:textId="468EB624" w:rsidR="00D35116" w:rsidRPr="004A426E" w:rsidRDefault="00411AA7" w:rsidP="00F972DB">
            <w:pPr>
              <w:pStyle w:val="NoSpacing"/>
            </w:pPr>
            <w:r>
              <w:t>2</w:t>
            </w:r>
            <w:r w:rsidR="00DF531B">
              <w:t>7</w:t>
            </w:r>
            <w:r w:rsidRPr="00B357B5">
              <w:rPr>
                <w:vertAlign w:val="superscript"/>
              </w:rPr>
              <w:t>th</w:t>
            </w:r>
            <w:r>
              <w:t xml:space="preserve"> </w:t>
            </w:r>
            <w:r w:rsidR="00B357B5">
              <w:t>May 2024</w:t>
            </w:r>
          </w:p>
        </w:tc>
      </w:tr>
      <w:tr w:rsidR="00D35116" w:rsidRPr="004A426E" w14:paraId="7DABB0C6" w14:textId="77777777" w:rsidTr="00F972DB">
        <w:tc>
          <w:tcPr>
            <w:tcW w:w="4508" w:type="dxa"/>
          </w:tcPr>
          <w:p w14:paraId="684C6943" w14:textId="77777777" w:rsidR="00D35116" w:rsidRPr="004A426E" w:rsidRDefault="00D35116" w:rsidP="00F972DB">
            <w:pPr>
              <w:pStyle w:val="NoSpacing"/>
            </w:pPr>
            <w:r w:rsidRPr="004A426E">
              <w:t>Request for proposal closes on:</w:t>
            </w:r>
          </w:p>
        </w:tc>
        <w:tc>
          <w:tcPr>
            <w:tcW w:w="4508" w:type="dxa"/>
          </w:tcPr>
          <w:p w14:paraId="566F0F52" w14:textId="694E6E70" w:rsidR="00D35116" w:rsidRPr="004A426E" w:rsidRDefault="004245C5" w:rsidP="00F972DB">
            <w:pPr>
              <w:pStyle w:val="NoSpacing"/>
            </w:pPr>
            <w:r w:rsidRPr="004245C5">
              <w:t>24</w:t>
            </w:r>
            <w:r w:rsidR="00A727F9" w:rsidRPr="00C91D5C">
              <w:rPr>
                <w:vertAlign w:val="superscript"/>
              </w:rPr>
              <w:t>th</w:t>
            </w:r>
            <w:r w:rsidR="00A727F9">
              <w:t xml:space="preserve"> </w:t>
            </w:r>
            <w:r w:rsidR="00B357B5">
              <w:t xml:space="preserve">June 2024 </w:t>
            </w:r>
          </w:p>
        </w:tc>
      </w:tr>
    </w:tbl>
    <w:p w14:paraId="3EA9A307" w14:textId="77777777" w:rsidR="00D35116" w:rsidRPr="004A426E" w:rsidRDefault="00D35116" w:rsidP="00D35116">
      <w:pPr>
        <w:pStyle w:val="NoSpacing"/>
      </w:pPr>
    </w:p>
    <w:p w14:paraId="0CE00A34" w14:textId="32C0F1FE" w:rsidR="00D35116" w:rsidRPr="00B13DE3" w:rsidRDefault="00D35116" w:rsidP="00617F83">
      <w:pPr>
        <w:pStyle w:val="NoSpacing"/>
        <w:jc w:val="both"/>
      </w:pPr>
      <w:r w:rsidRPr="00B13DE3">
        <w:t xml:space="preserve">All clarification questions (including commercial, technical and terms and conditions) </w:t>
      </w:r>
      <w:r w:rsidR="00D352CB" w:rsidRPr="00B13DE3">
        <w:t>must</w:t>
      </w:r>
      <w:r w:rsidRPr="00B13DE3">
        <w:t xml:space="preserve"> be sent before the clarification period is closed and addressed to the </w:t>
      </w:r>
      <w:r w:rsidR="007D141C" w:rsidRPr="00B13DE3">
        <w:t xml:space="preserve">NWS </w:t>
      </w:r>
      <w:r w:rsidRPr="00B13DE3">
        <w:t xml:space="preserve">RSO via </w:t>
      </w:r>
      <w:hyperlink r:id="rId12" w:history="1">
        <w:r w:rsidRPr="00B13DE3">
          <w:rPr>
            <w:rStyle w:val="Hyperlink"/>
          </w:rPr>
          <w:t>rso-gdf@manchester.ac.uk</w:t>
        </w:r>
      </w:hyperlink>
      <w:r w:rsidRPr="00B13DE3">
        <w:t xml:space="preserve">. </w:t>
      </w:r>
    </w:p>
    <w:p w14:paraId="2E336EDE" w14:textId="0630FC11" w:rsidR="00B07393" w:rsidRPr="00B13DE3" w:rsidRDefault="00B07393" w:rsidP="00D35116">
      <w:pPr>
        <w:pStyle w:val="NoSpacing"/>
      </w:pPr>
    </w:p>
    <w:p w14:paraId="2042BB3F" w14:textId="657F67A3" w:rsidR="00B07393" w:rsidRPr="00B13DE3" w:rsidRDefault="00B07393" w:rsidP="00FB1B28">
      <w:pPr>
        <w:pStyle w:val="NoSpacing"/>
        <w:jc w:val="both"/>
        <w:rPr>
          <w:u w:val="single"/>
        </w:rPr>
      </w:pPr>
      <w:r w:rsidRPr="00B13DE3">
        <w:rPr>
          <w:u w:val="single"/>
        </w:rPr>
        <w:t xml:space="preserve">Any clarification questions to the </w:t>
      </w:r>
      <w:r w:rsidRPr="00B13DE3">
        <w:rPr>
          <w:b/>
          <w:bCs/>
          <w:u w:val="single"/>
        </w:rPr>
        <w:t>scope of the project</w:t>
      </w:r>
      <w:r w:rsidRPr="00B13DE3">
        <w:rPr>
          <w:u w:val="single"/>
        </w:rPr>
        <w:t xml:space="preserve"> and/or </w:t>
      </w:r>
      <w:r w:rsidRPr="00B13DE3">
        <w:rPr>
          <w:b/>
          <w:bCs/>
          <w:u w:val="single"/>
        </w:rPr>
        <w:t>grant agreement terms</w:t>
      </w:r>
      <w:r w:rsidRPr="00B13DE3">
        <w:rPr>
          <w:u w:val="single"/>
        </w:rPr>
        <w:t xml:space="preserve"> will only be considered during the Clarification period stated above and will not be accepted after proposal submission.</w:t>
      </w:r>
    </w:p>
    <w:p w14:paraId="09F42B62" w14:textId="77777777" w:rsidR="00D35116" w:rsidRPr="00B13DE3" w:rsidRDefault="00D35116" w:rsidP="00D35116">
      <w:pPr>
        <w:pStyle w:val="NoSpacing"/>
      </w:pPr>
    </w:p>
    <w:p w14:paraId="17B67C5E" w14:textId="64CC08C9" w:rsidR="00EF4DA9" w:rsidRPr="003517B8" w:rsidRDefault="00D35116" w:rsidP="00E17478">
      <w:pPr>
        <w:pStyle w:val="NoSpacing"/>
        <w:jc w:val="both"/>
      </w:pPr>
      <w:r w:rsidRPr="00B13DE3">
        <w:t xml:space="preserve">Proposals will be accepted as </w:t>
      </w:r>
      <w:r w:rsidR="00E17478" w:rsidRPr="00B13DE3">
        <w:t>.pdf</w:t>
      </w:r>
      <w:r w:rsidRPr="00B13DE3">
        <w:t xml:space="preserve"> documents and supporting materials emailed to the RSO inbox: </w:t>
      </w:r>
      <w:hyperlink r:id="rId13" w:history="1">
        <w:r w:rsidR="007D141C" w:rsidRPr="00B13DE3">
          <w:rPr>
            <w:rStyle w:val="Hyperlink"/>
          </w:rPr>
          <w:t>rso-gdf@manchester.ac.uk</w:t>
        </w:r>
      </w:hyperlink>
      <w:r w:rsidR="00B91B21" w:rsidRPr="00B13DE3">
        <w:t>. E</w:t>
      </w:r>
      <w:r w:rsidR="007D141C" w:rsidRPr="00B13DE3">
        <w:t>xchange</w:t>
      </w:r>
      <w:r w:rsidR="00B91B21" w:rsidRPr="00B13DE3">
        <w:t>s</w:t>
      </w:r>
      <w:r w:rsidR="007D141C" w:rsidRPr="00B13DE3">
        <w:t xml:space="preserve"> between academics and NWS staff during the tender period is strongly discouraged</w:t>
      </w:r>
      <w:r w:rsidRPr="00B13DE3">
        <w:t>.</w:t>
      </w:r>
      <w:r w:rsidR="00E776EE" w:rsidRPr="00B13DE3">
        <w:t xml:space="preserve"> </w:t>
      </w:r>
      <w:r w:rsidRPr="00B13DE3">
        <w:t>Applications</w:t>
      </w:r>
      <w:r w:rsidRPr="004A426E">
        <w:t xml:space="preserve"> will be assessed by </w:t>
      </w:r>
      <w:r w:rsidR="005E63DD">
        <w:t xml:space="preserve">a </w:t>
      </w:r>
      <w:r w:rsidR="00B80339">
        <w:t>N</w:t>
      </w:r>
      <w:r w:rsidR="00920DB9">
        <w:t xml:space="preserve">uclear </w:t>
      </w:r>
      <w:r w:rsidR="00B80339">
        <w:t>W</w:t>
      </w:r>
      <w:r w:rsidR="00920DB9">
        <w:t xml:space="preserve">aste </w:t>
      </w:r>
      <w:r w:rsidR="00B80339" w:rsidRPr="003517B8">
        <w:t>S</w:t>
      </w:r>
      <w:r w:rsidR="00920DB9" w:rsidRPr="003517B8">
        <w:t>ervices</w:t>
      </w:r>
      <w:r w:rsidR="005E63DD" w:rsidRPr="003517B8">
        <w:t xml:space="preserve"> </w:t>
      </w:r>
      <w:r w:rsidR="002A6518" w:rsidRPr="003517B8">
        <w:t xml:space="preserve">(NWS) </w:t>
      </w:r>
      <w:r w:rsidR="005E63DD" w:rsidRPr="00C91D5C">
        <w:t>panel of key stakeholders</w:t>
      </w:r>
      <w:r w:rsidRPr="00C91D5C">
        <w:t xml:space="preserve">. </w:t>
      </w:r>
    </w:p>
    <w:p w14:paraId="41BA640E" w14:textId="77777777" w:rsidR="006E58DA" w:rsidRDefault="006E58DA">
      <w:pPr>
        <w:rPr>
          <w:rFonts w:ascii="Arial" w:eastAsia="Times New Roman" w:hAnsi="Arial" w:cs="Arial"/>
          <w:b/>
          <w:sz w:val="24"/>
        </w:rPr>
      </w:pPr>
      <w:r>
        <w:br w:type="page"/>
      </w:r>
    </w:p>
    <w:p w14:paraId="52F15006" w14:textId="1D1E2511" w:rsidR="00353E12" w:rsidRPr="00B33946" w:rsidRDefault="008639E4" w:rsidP="00353E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Materials Science – Understanding the Mechanisms of Zirconolite </w:t>
      </w:r>
      <w:r w:rsidR="007D2CB8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eaching</w:t>
      </w:r>
    </w:p>
    <w:p w14:paraId="33C81A8D" w14:textId="77777777" w:rsidR="008639E4" w:rsidRPr="00B13DE3" w:rsidRDefault="008639E4" w:rsidP="00353E12">
      <w:pPr>
        <w:rPr>
          <w:rStyle w:val="Hyperlink"/>
          <w:rFonts w:ascii="Arial" w:hAnsi="Arial" w:cs="Arial"/>
          <w:color w:val="auto"/>
          <w:u w:val="none"/>
          <w:lang w:eastAsia="en-GB"/>
        </w:rPr>
      </w:pPr>
    </w:p>
    <w:p w14:paraId="74EB3542" w14:textId="4F58A684" w:rsidR="00353E12" w:rsidRPr="00B13DE3" w:rsidRDefault="00353E12" w:rsidP="00E65CC2">
      <w:pPr>
        <w:jc w:val="both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Applicants are sought for a research project on </w:t>
      </w:r>
      <w:r w:rsidR="001A547F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developing mechanistic understanding of </w:t>
      </w:r>
      <w:r w:rsidR="00BF6A6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zirconolite</w:t>
      </w:r>
      <w:r w:rsidR="001A547F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leaching</w:t>
      </w:r>
      <w:r w:rsidR="00C14F5F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, </w:t>
      </w:r>
      <w:r w:rsidR="006A7FCF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with specific emphasis on the determination of</w:t>
      </w:r>
      <w:r w:rsidR="00C14F5F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congruent or incongruent dissolution process</w:t>
      </w:r>
      <w:r w:rsidR="000D500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es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. The 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lead investigator must 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be based </w:t>
      </w:r>
      <w:r w:rsidR="00E65CC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at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a 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UK university. The project 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is expected to be funded 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>for</w:t>
      </w:r>
      <w:r w:rsidR="00BF6EF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BF6A6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24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month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s. </w:t>
      </w:r>
      <w:r w:rsidR="00BF6EF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Proposals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will be assessed and awarded by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B80339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NWS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and 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the </w:t>
      </w:r>
      <w:r w:rsidR="00B80339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NWS</w:t>
      </w:r>
      <w:r w:rsidR="00E65CC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BB5BD8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RSO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will administer the tender process on behalf of NWS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>.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The successful project will be associated within the NWS RSO ‘Materials Science’ theme.</w:t>
      </w:r>
    </w:p>
    <w:p w14:paraId="12EA174E" w14:textId="40353037" w:rsidR="00AC7882" w:rsidRPr="00B13DE3" w:rsidRDefault="00353E12" w:rsidP="00E96977">
      <w:pPr>
        <w:jc w:val="both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>It is the policy of the UK Government to manage higher activity radioactive waste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s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through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a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deep 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>geological disposal</w:t>
      </w:r>
      <w:r w:rsidR="008A447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facility (GDF)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>.</w:t>
      </w:r>
      <w:r w:rsidR="00B45D9A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While </w:t>
      </w:r>
      <w:r w:rsidR="009643F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not</w:t>
      </w:r>
      <w:r w:rsidR="00B45D9A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yet declared as waste, </w:t>
      </w:r>
      <w:r w:rsidR="009643F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GDF planning assumes</w:t>
      </w:r>
      <w:r w:rsidR="0059798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th</w:t>
      </w:r>
      <w:r w:rsidR="007249A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at 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the </w:t>
      </w:r>
      <w:r w:rsidR="007249A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disposal 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inventory </w:t>
      </w:r>
      <w:r w:rsidR="007249A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will </w:t>
      </w:r>
      <w:r w:rsidR="00E378C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include the UK’s </w:t>
      </w:r>
      <w:r w:rsidR="00B6717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civil </w:t>
      </w:r>
      <w:r w:rsidR="00E378C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plu</w:t>
      </w:r>
      <w:r w:rsidR="009643F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tonium</w:t>
      </w:r>
      <w:r w:rsidR="00BF6EF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(Pu)</w:t>
      </w:r>
      <w:r w:rsidR="00B6717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. Th</w:t>
      </w:r>
      <w:r w:rsidR="00B80339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e</w:t>
      </w:r>
      <w:r w:rsidR="00B6717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763AE8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likely options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763AE8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are that </w:t>
      </w:r>
      <w:r w:rsidR="00BF6EF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Pu</w:t>
      </w:r>
      <w:r w:rsidR="00323B16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B6717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would be disposed of</w:t>
      </w:r>
      <w:r w:rsidR="00E378C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either </w:t>
      </w:r>
      <w:r w:rsidR="007249A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as </w:t>
      </w:r>
      <w:r w:rsidR="00BE5FFF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an </w:t>
      </w:r>
      <w:r w:rsidR="009643F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immobilised ceramic wasteform</w:t>
      </w:r>
      <w:r w:rsidR="00030B0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or, in the case of its </w:t>
      </w:r>
      <w:r w:rsidR="00763AE8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potential 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future </w:t>
      </w:r>
      <w:r w:rsidR="00763AE8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use in Mixed O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xide</w:t>
      </w:r>
      <w:r w:rsidR="00E9697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(MOX)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fuel, in the form of spent </w:t>
      </w:r>
      <w:r w:rsidR="00E9697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MOX</w:t>
      </w:r>
      <w:r w:rsidR="003F21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fuel assemblies </w:t>
      </w:r>
      <w:r w:rsidR="006477D4" w:rsidRPr="00B13DE3">
        <w:rPr>
          <w:rStyle w:val="FootnoteReference"/>
          <w:rFonts w:ascii="Arial" w:hAnsi="Arial" w:cs="Arial"/>
          <w:lang w:eastAsia="en-GB"/>
        </w:rPr>
        <w:footnoteReference w:id="1"/>
      </w:r>
      <w:r w:rsidR="004F7CDA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4F7CDA" w:rsidRPr="00B13DE3">
        <w:rPr>
          <w:rStyle w:val="FootnoteReference"/>
          <w:rFonts w:ascii="Arial" w:hAnsi="Arial" w:cs="Arial"/>
          <w:lang w:eastAsia="en-GB"/>
        </w:rPr>
        <w:footnoteReference w:id="2"/>
      </w:r>
      <w:r w:rsidR="009643F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.</w:t>
      </w:r>
      <w:r w:rsidR="0032009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One of the </w:t>
      </w:r>
      <w:r w:rsidR="00213B7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ceramic wasteform options under consideration for immobilisation is based on a zirconolite mineral formulation</w:t>
      </w:r>
      <w:r w:rsidR="0064132E" w:rsidRPr="00B13DE3">
        <w:rPr>
          <w:rStyle w:val="FootnoteReference"/>
          <w:rFonts w:ascii="Arial" w:hAnsi="Arial" w:cs="Arial"/>
          <w:lang w:eastAsia="en-GB"/>
        </w:rPr>
        <w:footnoteReference w:id="3"/>
      </w:r>
      <w:r w:rsidR="0064132E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.</w:t>
      </w:r>
    </w:p>
    <w:p w14:paraId="63CF2C6B" w14:textId="14BC95D0" w:rsidR="00FB2B6C" w:rsidRPr="00B13DE3" w:rsidRDefault="00906C87" w:rsidP="00736202">
      <w:pPr>
        <w:jc w:val="both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>T</w:t>
      </w:r>
      <w:r w:rsidR="00BE3D7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o evaluate whether</w:t>
      </w:r>
      <w:r w:rsidR="00AC788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763AE8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Pu</w:t>
      </w:r>
      <w:r w:rsidR="004447E5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disposal</w:t>
      </w:r>
      <w:r w:rsidR="00AC788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E9697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through </w:t>
      </w:r>
      <w:r w:rsidR="00DC7B7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its </w:t>
      </w:r>
      <w:r w:rsidR="00E9697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incorporation into</w:t>
      </w:r>
      <w:r w:rsidR="00376EC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zirconolite ceramic materials </w:t>
      </w:r>
      <w:r w:rsidR="00AC788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is practical requires </w:t>
      </w:r>
      <w:r w:rsidR="00F96286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the development of</w:t>
      </w:r>
      <w:r w:rsidR="00AC788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GDF concepts compatible with these materials. Any such concepts will need to be underpinned by a suitable safety case.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An </w:t>
      </w:r>
      <w:r w:rsidR="00FB2B6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important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FD2EF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component in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safety case </w:t>
      </w:r>
      <w:r w:rsidR="00FD2EF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development 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for High</w:t>
      </w:r>
      <w:r w:rsidR="00F441D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er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Heat </w:t>
      </w:r>
      <w:r w:rsidR="00FB2B6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G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enerating </w:t>
      </w:r>
      <w:r w:rsidR="00FB2B6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W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astes </w:t>
      </w:r>
      <w:r w:rsidR="0073620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(which includ</w:t>
      </w:r>
      <w:r w:rsidR="00B17489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e</w:t>
      </w:r>
      <w:r w:rsidR="0073620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Pu) </w:t>
      </w:r>
      <w:r w:rsidR="00FD2EF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is demonstrating a suitable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understanding of how the wastes</w:t>
      </w:r>
      <w:r w:rsidR="00376EC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including zirconolite ceramic materials</w:t>
      </w:r>
      <w:r w:rsidR="006C0AC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will interact with </w:t>
      </w:r>
      <w:r w:rsidR="00FB2B6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groundwaters.</w:t>
      </w:r>
    </w:p>
    <w:p w14:paraId="06FD12A8" w14:textId="0D460650" w:rsidR="005B09DD" w:rsidRPr="00B13DE3" w:rsidRDefault="00C579ED" w:rsidP="002A336C">
      <w:pPr>
        <w:jc w:val="both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While </w:t>
      </w:r>
      <w:r w:rsidR="00C2602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significant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work </w:t>
      </w:r>
      <w:r w:rsidR="00C2602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has been undertaken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on </w:t>
      </w:r>
      <w:r w:rsidR="00C2602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zirconolite</w:t>
      </w:r>
      <w:r w:rsidR="0070628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/</w:t>
      </w:r>
      <w:r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groundwater interactions, </w:t>
      </w:r>
      <w:r w:rsidR="00C2602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it would be be</w:t>
      </w:r>
      <w:r w:rsidR="00363C6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neficial</w:t>
      </w:r>
      <w:r w:rsidR="00C2602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to NWS to </w:t>
      </w:r>
      <w:r w:rsidR="004447E5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deliver an improved</w:t>
      </w:r>
      <w:r w:rsidR="00363C6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understanding of the mechanisms by which dissolution</w:t>
      </w:r>
      <w:r w:rsidR="00376EC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of zirconolite ceramic materials</w:t>
      </w:r>
      <w:r w:rsidR="00363C6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occurs</w:t>
      </w:r>
      <w:r w:rsidR="00706284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(e.g., </w:t>
      </w:r>
      <w:r w:rsidR="004D64EB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are dissolution processes congruent or incongruent)</w:t>
      </w:r>
      <w:r w:rsidR="00363C67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.</w:t>
      </w:r>
      <w:r w:rsidR="008902E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5B09DD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The task proposed here will </w:t>
      </w:r>
      <w:r w:rsidR="008902E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develop, </w:t>
      </w:r>
      <w:r w:rsidR="005B09DD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undertake and report on experimental studies that will increase </w:t>
      </w:r>
      <w:r w:rsidR="00A12E91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the </w:t>
      </w:r>
      <w:r w:rsidR="005B09DD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understanding of the chemical mechanisms at play during </w:t>
      </w:r>
      <w:r w:rsidR="00352F20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the </w:t>
      </w:r>
      <w:r w:rsidR="005B09DD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dissolution of zirconolite ceramic materials.</w:t>
      </w:r>
      <w:r w:rsidR="000866B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In addition, </w:t>
      </w:r>
      <w:r w:rsidR="00C675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advancements in</w:t>
      </w:r>
      <w:r w:rsidR="000866B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understanding relating to the development of alternation layers</w:t>
      </w:r>
      <w:r w:rsidR="00C675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,</w:t>
      </w:r>
      <w:r w:rsidR="000866B2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the mechanisms by which they form </w:t>
      </w:r>
      <w:r w:rsidR="00C675D3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and the degree of surface passivation </w:t>
      </w:r>
      <w:r w:rsidR="0005389E" w:rsidRPr="00B13DE3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they provide </w:t>
      </w:r>
      <w:r w:rsidR="00FB74DC" w:rsidRPr="00B13DE3">
        <w:rPr>
          <w:rStyle w:val="Hyperlink"/>
          <w:rFonts w:ascii="Arial" w:hAnsi="Arial" w:cs="Arial"/>
          <w:color w:val="auto"/>
          <w:u w:val="none"/>
          <w:lang w:eastAsia="en-GB"/>
        </w:rPr>
        <w:t>would also be advantageous.</w:t>
      </w:r>
      <w:r w:rsidR="00A958BF" w:rsidRPr="00B13DE3">
        <w:rPr>
          <w:rFonts w:ascii="Arial" w:hAnsi="Arial" w:cs="Arial"/>
        </w:rPr>
        <w:t xml:space="preserve"> NWS is interested in proposals for research which build on current understanding of leaching</w:t>
      </w:r>
      <w:r w:rsidR="00376EC4" w:rsidRPr="00B13DE3">
        <w:rPr>
          <w:rFonts w:ascii="Arial" w:hAnsi="Arial" w:cs="Arial"/>
        </w:rPr>
        <w:t xml:space="preserve"> of zirconolite ceramic materials and is requesting that the academic community propose a solutions led experimental approach in any proposals</w:t>
      </w:r>
      <w:r w:rsidR="00A958BF" w:rsidRPr="00B13DE3">
        <w:rPr>
          <w:rFonts w:ascii="Arial" w:hAnsi="Arial" w:cs="Arial"/>
        </w:rPr>
        <w:t>.</w:t>
      </w:r>
    </w:p>
    <w:p w14:paraId="13348644" w14:textId="5F33A4AD" w:rsidR="0047329A" w:rsidRPr="00B13DE3" w:rsidRDefault="00376EC4" w:rsidP="00BF4101">
      <w:pPr>
        <w:jc w:val="both"/>
        <w:rPr>
          <w:rFonts w:ascii="Arial" w:hAnsi="Arial" w:cs="Arial"/>
        </w:rPr>
      </w:pPr>
      <w:r w:rsidRPr="00B13DE3">
        <w:rPr>
          <w:rFonts w:ascii="Arial" w:hAnsi="Arial" w:cs="Arial"/>
        </w:rPr>
        <w:t xml:space="preserve">In addition, </w:t>
      </w:r>
      <w:r w:rsidR="00CF1C1C" w:rsidRPr="00B13DE3">
        <w:rPr>
          <w:rFonts w:ascii="Arial" w:hAnsi="Arial" w:cs="Arial"/>
        </w:rPr>
        <w:t xml:space="preserve">NWS would welcome proposals </w:t>
      </w:r>
      <w:r w:rsidR="00C53DD1" w:rsidRPr="00B13DE3">
        <w:rPr>
          <w:rFonts w:ascii="Arial" w:hAnsi="Arial" w:cs="Arial"/>
        </w:rPr>
        <w:t>presented in two stages</w:t>
      </w:r>
      <w:r w:rsidR="00942A82" w:rsidRPr="00B13DE3">
        <w:rPr>
          <w:rFonts w:ascii="Arial" w:hAnsi="Arial" w:cs="Arial"/>
        </w:rPr>
        <w:t>,</w:t>
      </w:r>
      <w:r w:rsidR="00241E89" w:rsidRPr="00B13DE3">
        <w:rPr>
          <w:rFonts w:ascii="Arial" w:hAnsi="Arial" w:cs="Arial"/>
        </w:rPr>
        <w:t xml:space="preserve"> with </w:t>
      </w:r>
      <w:r w:rsidR="0076426F" w:rsidRPr="00B13DE3">
        <w:rPr>
          <w:rFonts w:ascii="Arial" w:hAnsi="Arial" w:cs="Arial"/>
        </w:rPr>
        <w:t xml:space="preserve">the opportunity for </w:t>
      </w:r>
      <w:r w:rsidR="00241E89" w:rsidRPr="00B13DE3">
        <w:rPr>
          <w:rFonts w:ascii="Arial" w:hAnsi="Arial" w:cs="Arial"/>
        </w:rPr>
        <w:t xml:space="preserve">NWS input </w:t>
      </w:r>
      <w:r w:rsidR="00C9521A" w:rsidRPr="00B13DE3">
        <w:rPr>
          <w:rFonts w:ascii="Arial" w:hAnsi="Arial" w:cs="Arial"/>
        </w:rPr>
        <w:t xml:space="preserve">incorporated through a gateway review </w:t>
      </w:r>
      <w:r w:rsidR="00BF4101" w:rsidRPr="00B13DE3">
        <w:rPr>
          <w:rFonts w:ascii="Arial" w:hAnsi="Arial" w:cs="Arial"/>
        </w:rPr>
        <w:t>after the completion of stage 1</w:t>
      </w:r>
      <w:r w:rsidR="0047329A" w:rsidRPr="00B13DE3">
        <w:rPr>
          <w:rFonts w:ascii="Arial" w:hAnsi="Arial" w:cs="Arial"/>
        </w:rPr>
        <w:t>. For example,</w:t>
      </w:r>
    </w:p>
    <w:p w14:paraId="696EC63E" w14:textId="34ED3EC0" w:rsidR="009604C5" w:rsidRPr="00B13DE3" w:rsidRDefault="009604C5" w:rsidP="00CD0DEC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B13DE3">
        <w:rPr>
          <w:rFonts w:ascii="Arial" w:hAnsi="Arial" w:cs="Arial"/>
          <w:b/>
          <w:bCs/>
        </w:rPr>
        <w:t>Stage 1:</w:t>
      </w:r>
      <w:r w:rsidRPr="00B13DE3">
        <w:rPr>
          <w:rFonts w:ascii="Arial" w:hAnsi="Arial" w:cs="Arial"/>
        </w:rPr>
        <w:t xml:space="preserve"> Zirconolite dissolution should be investigated using a</w:t>
      </w:r>
      <w:r w:rsidR="004917CE" w:rsidRPr="00B13DE3">
        <w:rPr>
          <w:rFonts w:ascii="Arial" w:hAnsi="Arial" w:cs="Arial"/>
        </w:rPr>
        <w:t xml:space="preserve"> well characteri</w:t>
      </w:r>
      <w:r w:rsidR="002E1C55" w:rsidRPr="00B13DE3">
        <w:rPr>
          <w:rFonts w:ascii="Arial" w:hAnsi="Arial" w:cs="Arial"/>
        </w:rPr>
        <w:t xml:space="preserve">sed, </w:t>
      </w:r>
      <w:r w:rsidR="004917CE" w:rsidRPr="00B13DE3">
        <w:rPr>
          <w:rFonts w:ascii="Arial" w:hAnsi="Arial" w:cs="Arial"/>
        </w:rPr>
        <w:t>single-phase e</w:t>
      </w:r>
      <w:r w:rsidRPr="00B13DE3">
        <w:rPr>
          <w:rFonts w:ascii="Arial" w:hAnsi="Arial" w:cs="Arial"/>
        </w:rPr>
        <w:t xml:space="preserve">ndmember zirconolite </w:t>
      </w:r>
      <w:r w:rsidR="004917CE" w:rsidRPr="00B13DE3">
        <w:rPr>
          <w:rFonts w:ascii="Arial" w:hAnsi="Arial" w:cs="Arial"/>
        </w:rPr>
        <w:t>(e.g. CaZrTi</w:t>
      </w:r>
      <w:r w:rsidR="004917CE" w:rsidRPr="00B13DE3">
        <w:rPr>
          <w:rFonts w:ascii="Arial" w:hAnsi="Arial" w:cs="Arial"/>
          <w:vertAlign w:val="subscript"/>
        </w:rPr>
        <w:t>2</w:t>
      </w:r>
      <w:r w:rsidR="004917CE" w:rsidRPr="00B13DE3">
        <w:rPr>
          <w:rFonts w:ascii="Arial" w:hAnsi="Arial" w:cs="Arial"/>
        </w:rPr>
        <w:t>O</w:t>
      </w:r>
      <w:r w:rsidR="004917CE" w:rsidRPr="00B13DE3">
        <w:rPr>
          <w:rFonts w:ascii="Arial" w:hAnsi="Arial" w:cs="Arial"/>
          <w:vertAlign w:val="subscript"/>
        </w:rPr>
        <w:t>7</w:t>
      </w:r>
      <w:r w:rsidR="004917CE" w:rsidRPr="00B13DE3">
        <w:rPr>
          <w:rFonts w:ascii="Arial" w:hAnsi="Arial" w:cs="Arial"/>
        </w:rPr>
        <w:t xml:space="preserve">) </w:t>
      </w:r>
      <w:r w:rsidRPr="00B13DE3">
        <w:rPr>
          <w:rFonts w:ascii="Arial" w:hAnsi="Arial" w:cs="Arial"/>
        </w:rPr>
        <w:t>to investigate and understand the dissolution mechanism</w:t>
      </w:r>
      <w:r w:rsidR="002E1C55" w:rsidRPr="00B13DE3">
        <w:rPr>
          <w:rFonts w:ascii="Arial" w:hAnsi="Arial" w:cs="Arial"/>
        </w:rPr>
        <w:t xml:space="preserve">. A well </w:t>
      </w:r>
      <w:r w:rsidR="00ED4946" w:rsidRPr="00B13DE3">
        <w:rPr>
          <w:rFonts w:ascii="Arial" w:hAnsi="Arial" w:cs="Arial"/>
        </w:rPr>
        <w:t>characterised</w:t>
      </w:r>
      <w:r w:rsidR="002E1C55" w:rsidRPr="00B13DE3">
        <w:rPr>
          <w:rFonts w:ascii="Arial" w:hAnsi="Arial" w:cs="Arial"/>
        </w:rPr>
        <w:t xml:space="preserve">, single-phase </w:t>
      </w:r>
      <w:r w:rsidR="00ED4946" w:rsidRPr="00B13DE3">
        <w:rPr>
          <w:rFonts w:ascii="Arial" w:hAnsi="Arial" w:cs="Arial"/>
        </w:rPr>
        <w:t>zirconolite</w:t>
      </w:r>
      <w:r w:rsidR="002E1C55" w:rsidRPr="00B13DE3">
        <w:rPr>
          <w:rFonts w:ascii="Arial" w:hAnsi="Arial" w:cs="Arial"/>
        </w:rPr>
        <w:t xml:space="preserve"> </w:t>
      </w:r>
      <w:r w:rsidR="00ED4946" w:rsidRPr="00B13DE3">
        <w:rPr>
          <w:rFonts w:ascii="Arial" w:hAnsi="Arial" w:cs="Arial"/>
        </w:rPr>
        <w:t xml:space="preserve">test material </w:t>
      </w:r>
      <w:r w:rsidR="002E1C55" w:rsidRPr="00B13DE3">
        <w:rPr>
          <w:rFonts w:ascii="Arial" w:hAnsi="Arial" w:cs="Arial"/>
        </w:rPr>
        <w:t xml:space="preserve">is required to </w:t>
      </w:r>
      <w:r w:rsidR="00ED4946" w:rsidRPr="00B13DE3">
        <w:rPr>
          <w:rFonts w:ascii="Arial" w:hAnsi="Arial" w:cs="Arial"/>
        </w:rPr>
        <w:t>remove</w:t>
      </w:r>
      <w:r w:rsidRPr="00B13DE3">
        <w:rPr>
          <w:rFonts w:ascii="Arial" w:hAnsi="Arial" w:cs="Arial"/>
        </w:rPr>
        <w:t xml:space="preserve"> complications associated with </w:t>
      </w:r>
      <w:r w:rsidR="001C764B" w:rsidRPr="00B13DE3">
        <w:rPr>
          <w:rFonts w:ascii="Arial" w:hAnsi="Arial" w:cs="Arial"/>
        </w:rPr>
        <w:t xml:space="preserve">compositional complexity </w:t>
      </w:r>
      <w:r w:rsidR="00C06520" w:rsidRPr="00B13DE3">
        <w:rPr>
          <w:rFonts w:ascii="Arial" w:hAnsi="Arial" w:cs="Arial"/>
        </w:rPr>
        <w:t>and/</w:t>
      </w:r>
      <w:r w:rsidR="001C764B" w:rsidRPr="00B13DE3">
        <w:rPr>
          <w:rFonts w:ascii="Arial" w:hAnsi="Arial" w:cs="Arial"/>
        </w:rPr>
        <w:t xml:space="preserve">or </w:t>
      </w:r>
      <w:r w:rsidR="00C06520" w:rsidRPr="00B13DE3">
        <w:rPr>
          <w:rFonts w:ascii="Arial" w:hAnsi="Arial" w:cs="Arial"/>
        </w:rPr>
        <w:t xml:space="preserve">minor </w:t>
      </w:r>
      <w:r w:rsidRPr="00B13DE3">
        <w:rPr>
          <w:rFonts w:ascii="Arial" w:hAnsi="Arial" w:cs="Arial"/>
        </w:rPr>
        <w:t xml:space="preserve">phase </w:t>
      </w:r>
      <w:r w:rsidR="00C06520" w:rsidRPr="00B13DE3">
        <w:rPr>
          <w:rFonts w:ascii="Arial" w:hAnsi="Arial" w:cs="Arial"/>
        </w:rPr>
        <w:t>/impurity dissolution</w:t>
      </w:r>
      <w:r w:rsidRPr="00B13DE3">
        <w:rPr>
          <w:rFonts w:ascii="Arial" w:hAnsi="Arial" w:cs="Arial"/>
        </w:rPr>
        <w:t>.</w:t>
      </w:r>
    </w:p>
    <w:p w14:paraId="1785E25C" w14:textId="77777777" w:rsidR="00CD0DEC" w:rsidRPr="00C91D5C" w:rsidRDefault="00CD0DEC" w:rsidP="00CD0DEC">
      <w:pPr>
        <w:pStyle w:val="ListParagraph"/>
        <w:rPr>
          <w:rFonts w:ascii="Arial" w:hAnsi="Arial" w:cs="Arial"/>
        </w:rPr>
      </w:pPr>
    </w:p>
    <w:p w14:paraId="23275827" w14:textId="43186CD7" w:rsidR="00CD0DEC" w:rsidRPr="00B13DE3" w:rsidRDefault="00CD0DEC" w:rsidP="00AB3E3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B13DE3">
        <w:rPr>
          <w:rFonts w:ascii="Arial" w:hAnsi="Arial" w:cs="Arial"/>
          <w:b/>
          <w:bCs/>
        </w:rPr>
        <w:lastRenderedPageBreak/>
        <w:t>Gat</w:t>
      </w:r>
      <w:r w:rsidR="00065576" w:rsidRPr="00B13DE3">
        <w:rPr>
          <w:rFonts w:ascii="Arial" w:hAnsi="Arial" w:cs="Arial"/>
          <w:b/>
          <w:bCs/>
        </w:rPr>
        <w:t>eway</w:t>
      </w:r>
      <w:r w:rsidRPr="00B13DE3">
        <w:rPr>
          <w:rFonts w:ascii="Arial" w:hAnsi="Arial" w:cs="Arial"/>
          <w:b/>
          <w:bCs/>
        </w:rPr>
        <w:t xml:space="preserve"> Review: </w:t>
      </w:r>
      <w:r w:rsidR="00AC1D36" w:rsidRPr="00B13DE3">
        <w:rPr>
          <w:rFonts w:ascii="Arial" w:hAnsi="Arial" w:cs="Arial"/>
        </w:rPr>
        <w:t>A</w:t>
      </w:r>
      <w:r w:rsidR="00F16CAC" w:rsidRPr="00B13DE3">
        <w:rPr>
          <w:rFonts w:ascii="Arial" w:hAnsi="Arial" w:cs="Arial"/>
        </w:rPr>
        <w:t xml:space="preserve"> gateway review with </w:t>
      </w:r>
      <w:r w:rsidR="00AB3E3B" w:rsidRPr="00B13DE3">
        <w:rPr>
          <w:rFonts w:ascii="Arial" w:hAnsi="Arial" w:cs="Arial"/>
        </w:rPr>
        <w:t xml:space="preserve">key </w:t>
      </w:r>
      <w:r w:rsidR="00F16CAC" w:rsidRPr="00B13DE3">
        <w:rPr>
          <w:rFonts w:ascii="Arial" w:hAnsi="Arial" w:cs="Arial"/>
        </w:rPr>
        <w:t xml:space="preserve">NWS stakeholders </w:t>
      </w:r>
      <w:r w:rsidR="005160F9" w:rsidRPr="00B13DE3">
        <w:rPr>
          <w:rFonts w:ascii="Arial" w:hAnsi="Arial" w:cs="Arial"/>
        </w:rPr>
        <w:t xml:space="preserve">should be undertaken </w:t>
      </w:r>
      <w:r w:rsidR="00AC1D36" w:rsidRPr="00B13DE3">
        <w:rPr>
          <w:rFonts w:ascii="Arial" w:hAnsi="Arial" w:cs="Arial"/>
        </w:rPr>
        <w:t>to review the outputs of Stage 1 and</w:t>
      </w:r>
      <w:r w:rsidR="00F16CAC" w:rsidRPr="00B13DE3">
        <w:rPr>
          <w:rFonts w:ascii="Arial" w:hAnsi="Arial" w:cs="Arial"/>
        </w:rPr>
        <w:t xml:space="preserve"> define </w:t>
      </w:r>
      <w:r w:rsidR="00AB3E3B" w:rsidRPr="00B13DE3">
        <w:rPr>
          <w:rFonts w:ascii="Arial" w:hAnsi="Arial" w:cs="Arial"/>
        </w:rPr>
        <w:t>the approach to Stage 2</w:t>
      </w:r>
      <w:r w:rsidR="00FC4127" w:rsidRPr="00B13DE3">
        <w:rPr>
          <w:rFonts w:ascii="Arial" w:hAnsi="Arial" w:cs="Arial"/>
        </w:rPr>
        <w:t>.</w:t>
      </w:r>
    </w:p>
    <w:p w14:paraId="0F49F421" w14:textId="77777777" w:rsidR="00CD0DEC" w:rsidRPr="00B13DE3" w:rsidRDefault="00CD0DEC" w:rsidP="00CD0DEC">
      <w:pPr>
        <w:pStyle w:val="ListParagraph"/>
        <w:rPr>
          <w:rFonts w:ascii="Arial" w:hAnsi="Arial" w:cs="Arial"/>
        </w:rPr>
      </w:pPr>
    </w:p>
    <w:p w14:paraId="1D446E04" w14:textId="18F7C442" w:rsidR="00065576" w:rsidRPr="00B13DE3" w:rsidRDefault="009604C5" w:rsidP="0006557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B13DE3">
        <w:rPr>
          <w:rFonts w:ascii="Arial" w:hAnsi="Arial" w:cs="Arial"/>
          <w:b/>
          <w:bCs/>
        </w:rPr>
        <w:t>Stage 2:</w:t>
      </w:r>
      <w:r w:rsidRPr="00B13DE3">
        <w:rPr>
          <w:rFonts w:ascii="Arial" w:hAnsi="Arial" w:cs="Arial"/>
        </w:rPr>
        <w:t xml:space="preserve"> A second stage of work will be required to build on the</w:t>
      </w:r>
      <w:r w:rsidR="005160F9" w:rsidRPr="00B13DE3">
        <w:rPr>
          <w:rFonts w:ascii="Arial" w:hAnsi="Arial" w:cs="Arial"/>
        </w:rPr>
        <w:t xml:space="preserve"> Stage 1</w:t>
      </w:r>
      <w:r w:rsidRPr="00B13DE3">
        <w:rPr>
          <w:rFonts w:ascii="Arial" w:hAnsi="Arial" w:cs="Arial"/>
        </w:rPr>
        <w:t xml:space="preserve"> studies using a </w:t>
      </w:r>
      <w:r w:rsidR="00637135" w:rsidRPr="00B13DE3">
        <w:rPr>
          <w:rFonts w:ascii="Arial" w:hAnsi="Arial" w:cs="Arial"/>
        </w:rPr>
        <w:t xml:space="preserve">well-characterised, </w:t>
      </w:r>
      <w:r w:rsidR="00CA2F1A" w:rsidRPr="00B13DE3">
        <w:rPr>
          <w:rFonts w:ascii="Arial" w:hAnsi="Arial" w:cs="Arial"/>
        </w:rPr>
        <w:t>single</w:t>
      </w:r>
      <w:r w:rsidR="0096758B" w:rsidRPr="00B13DE3">
        <w:rPr>
          <w:rFonts w:ascii="Arial" w:hAnsi="Arial" w:cs="Arial"/>
        </w:rPr>
        <w:t>-</w:t>
      </w:r>
      <w:r w:rsidR="00CA2F1A" w:rsidRPr="00B13DE3">
        <w:rPr>
          <w:rFonts w:ascii="Arial" w:hAnsi="Arial" w:cs="Arial"/>
        </w:rPr>
        <w:t xml:space="preserve">phase </w:t>
      </w:r>
      <w:r w:rsidR="00661D96" w:rsidRPr="00B13DE3">
        <w:rPr>
          <w:rFonts w:ascii="Arial" w:hAnsi="Arial" w:cs="Arial"/>
        </w:rPr>
        <w:t>u</w:t>
      </w:r>
      <w:r w:rsidRPr="00B13DE3">
        <w:rPr>
          <w:rFonts w:ascii="Arial" w:hAnsi="Arial" w:cs="Arial"/>
        </w:rPr>
        <w:t>ranium doped zirconolite</w:t>
      </w:r>
      <w:r w:rsidR="00956ECA" w:rsidRPr="00B13DE3">
        <w:rPr>
          <w:rFonts w:ascii="Arial" w:hAnsi="Arial" w:cs="Arial"/>
        </w:rPr>
        <w:t xml:space="preserve"> (</w:t>
      </w:r>
      <w:r w:rsidR="00CA2F1A" w:rsidRPr="00B13DE3">
        <w:rPr>
          <w:rFonts w:ascii="Arial" w:hAnsi="Arial" w:cs="Arial"/>
        </w:rPr>
        <w:t>doping</w:t>
      </w:r>
      <w:r w:rsidR="0096758B" w:rsidRPr="00B13DE3">
        <w:rPr>
          <w:rFonts w:ascii="Arial" w:hAnsi="Arial" w:cs="Arial"/>
        </w:rPr>
        <w:t xml:space="preserve"> </w:t>
      </w:r>
      <w:r w:rsidR="00CA2F1A" w:rsidRPr="00B13DE3">
        <w:rPr>
          <w:rFonts w:ascii="Arial" w:hAnsi="Arial" w:cs="Arial"/>
        </w:rPr>
        <w:t xml:space="preserve">should be </w:t>
      </w:r>
      <w:r w:rsidR="000D05B4" w:rsidRPr="00B13DE3">
        <w:rPr>
          <w:rFonts w:ascii="Arial" w:hAnsi="Arial" w:cs="Arial"/>
        </w:rPr>
        <w:t xml:space="preserve">targeted at </w:t>
      </w:r>
      <w:r w:rsidR="0096758B" w:rsidRPr="00B13DE3">
        <w:rPr>
          <w:rFonts w:ascii="Arial" w:hAnsi="Arial" w:cs="Arial"/>
        </w:rPr>
        <w:t>0.3 formula units</w:t>
      </w:r>
      <w:r w:rsidR="00956ECA" w:rsidRPr="00B13DE3">
        <w:rPr>
          <w:rFonts w:ascii="Arial" w:hAnsi="Arial" w:cs="Arial"/>
        </w:rPr>
        <w:t>)</w:t>
      </w:r>
      <w:r w:rsidRPr="00B13DE3">
        <w:rPr>
          <w:rFonts w:ascii="Arial" w:hAnsi="Arial" w:cs="Arial"/>
        </w:rPr>
        <w:t xml:space="preserve">. Two options should be outlined and costed for </w:t>
      </w:r>
      <w:r w:rsidR="00956ECA" w:rsidRPr="00B13DE3">
        <w:rPr>
          <w:rFonts w:ascii="Arial" w:hAnsi="Arial" w:cs="Arial"/>
        </w:rPr>
        <w:t>S</w:t>
      </w:r>
      <w:r w:rsidRPr="00B13DE3">
        <w:rPr>
          <w:rFonts w:ascii="Arial" w:hAnsi="Arial" w:cs="Arial"/>
        </w:rPr>
        <w:t>tage 2</w:t>
      </w:r>
      <w:r w:rsidR="00065576" w:rsidRPr="00B13DE3">
        <w:rPr>
          <w:rFonts w:ascii="Arial" w:hAnsi="Arial" w:cs="Arial"/>
        </w:rPr>
        <w:t>, with the option selected being dependent</w:t>
      </w:r>
      <w:r w:rsidRPr="00B13DE3">
        <w:rPr>
          <w:rFonts w:ascii="Arial" w:hAnsi="Arial" w:cs="Arial"/>
        </w:rPr>
        <w:t xml:space="preserve"> on the outcomes of </w:t>
      </w:r>
      <w:r w:rsidR="00065576" w:rsidRPr="00B13DE3">
        <w:rPr>
          <w:rFonts w:ascii="Arial" w:hAnsi="Arial" w:cs="Arial"/>
        </w:rPr>
        <w:t>S</w:t>
      </w:r>
      <w:r w:rsidRPr="00B13DE3">
        <w:rPr>
          <w:rFonts w:ascii="Arial" w:hAnsi="Arial" w:cs="Arial"/>
        </w:rPr>
        <w:t xml:space="preserve">tage 1. </w:t>
      </w:r>
    </w:p>
    <w:p w14:paraId="19C45D85" w14:textId="77777777" w:rsidR="00065576" w:rsidRPr="00B13DE3" w:rsidRDefault="00065576" w:rsidP="00065576">
      <w:pPr>
        <w:pStyle w:val="ListParagraph"/>
        <w:jc w:val="both"/>
        <w:rPr>
          <w:rFonts w:ascii="Arial" w:hAnsi="Arial" w:cs="Arial"/>
        </w:rPr>
      </w:pPr>
    </w:p>
    <w:p w14:paraId="262E16F2" w14:textId="5BD082FA" w:rsidR="00E63896" w:rsidRPr="00B13DE3" w:rsidRDefault="009604C5" w:rsidP="00371110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B13DE3">
        <w:rPr>
          <w:rFonts w:ascii="Arial" w:hAnsi="Arial" w:cs="Arial"/>
        </w:rPr>
        <w:t xml:space="preserve">If the </w:t>
      </w:r>
      <w:r w:rsidR="005D79F4" w:rsidRPr="00B13DE3">
        <w:rPr>
          <w:rFonts w:ascii="Arial" w:hAnsi="Arial" w:cs="Arial"/>
        </w:rPr>
        <w:t xml:space="preserve">dissolution </w:t>
      </w:r>
      <w:r w:rsidRPr="00B13DE3">
        <w:rPr>
          <w:rFonts w:ascii="Arial" w:hAnsi="Arial" w:cs="Arial"/>
        </w:rPr>
        <w:t xml:space="preserve">mechanisms </w:t>
      </w:r>
      <w:r w:rsidRPr="00B13DE3">
        <w:rPr>
          <w:rFonts w:ascii="Arial" w:hAnsi="Arial" w:cs="Arial"/>
          <w:b/>
          <w:bCs/>
          <w:u w:val="single"/>
        </w:rPr>
        <w:t>can be</w:t>
      </w:r>
      <w:r w:rsidRPr="00B13DE3">
        <w:rPr>
          <w:rFonts w:ascii="Arial" w:hAnsi="Arial" w:cs="Arial"/>
        </w:rPr>
        <w:t xml:space="preserve"> successfully elicited in Stage 1, a proposal for confirming whether the same mechanism is present in samples containing</w:t>
      </w:r>
      <w:r w:rsidR="0096758B" w:rsidRPr="00B13DE3">
        <w:rPr>
          <w:rFonts w:ascii="Arial" w:hAnsi="Arial" w:cs="Arial"/>
        </w:rPr>
        <w:t xml:space="preserve"> uranium</w:t>
      </w:r>
      <w:r w:rsidRPr="00B13DE3">
        <w:rPr>
          <w:rFonts w:ascii="Arial" w:hAnsi="Arial" w:cs="Arial"/>
        </w:rPr>
        <w:t xml:space="preserve"> as a redox sensitive </w:t>
      </w:r>
      <w:r w:rsidR="00065576" w:rsidRPr="00B13DE3">
        <w:rPr>
          <w:rFonts w:ascii="Arial" w:hAnsi="Arial" w:cs="Arial"/>
        </w:rPr>
        <w:t>Pu</w:t>
      </w:r>
      <w:r w:rsidRPr="00B13DE3">
        <w:rPr>
          <w:rFonts w:ascii="Arial" w:hAnsi="Arial" w:cs="Arial"/>
        </w:rPr>
        <w:t xml:space="preserve"> surrogate. This should be undertaken GDF relevant conditions (e.g., anoxic / reducing conditions).</w:t>
      </w:r>
    </w:p>
    <w:p w14:paraId="7CF9C741" w14:textId="77777777" w:rsidR="00065576" w:rsidRPr="00B13DE3" w:rsidRDefault="00065576" w:rsidP="00371110">
      <w:pPr>
        <w:pStyle w:val="ListParagraph"/>
        <w:ind w:left="1440"/>
        <w:jc w:val="both"/>
        <w:rPr>
          <w:rFonts w:ascii="Arial" w:hAnsi="Arial" w:cs="Arial"/>
        </w:rPr>
      </w:pPr>
    </w:p>
    <w:p w14:paraId="69FE722F" w14:textId="2FE21C8D" w:rsidR="00C53DD1" w:rsidRPr="00B13DE3" w:rsidRDefault="009604C5" w:rsidP="00371110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B13DE3">
        <w:rPr>
          <w:rFonts w:ascii="Arial" w:hAnsi="Arial" w:cs="Arial"/>
        </w:rPr>
        <w:t xml:space="preserve">If the </w:t>
      </w:r>
      <w:r w:rsidR="00371110" w:rsidRPr="00B13DE3">
        <w:rPr>
          <w:rFonts w:ascii="Arial" w:hAnsi="Arial" w:cs="Arial"/>
        </w:rPr>
        <w:t xml:space="preserve">dissolution </w:t>
      </w:r>
      <w:r w:rsidRPr="00B13DE3">
        <w:rPr>
          <w:rFonts w:ascii="Arial" w:hAnsi="Arial" w:cs="Arial"/>
        </w:rPr>
        <w:t xml:space="preserve">mechanisms </w:t>
      </w:r>
      <w:r w:rsidRPr="00B13DE3">
        <w:rPr>
          <w:rFonts w:ascii="Arial" w:hAnsi="Arial" w:cs="Arial"/>
          <w:b/>
          <w:bCs/>
          <w:u w:val="single"/>
        </w:rPr>
        <w:t>cannot be</w:t>
      </w:r>
      <w:r w:rsidRPr="00B13DE3">
        <w:rPr>
          <w:rFonts w:ascii="Arial" w:hAnsi="Arial" w:cs="Arial"/>
        </w:rPr>
        <w:t xml:space="preserve"> successfully elicited in Stage 1, an alternative scope of work </w:t>
      </w:r>
      <w:r w:rsidR="002C3CB5" w:rsidRPr="00B13DE3">
        <w:rPr>
          <w:rFonts w:ascii="Arial" w:hAnsi="Arial" w:cs="Arial"/>
        </w:rPr>
        <w:t xml:space="preserve">using </w:t>
      </w:r>
      <w:r w:rsidR="00437D8A" w:rsidRPr="00B13DE3">
        <w:rPr>
          <w:rFonts w:ascii="Arial" w:hAnsi="Arial" w:cs="Arial"/>
        </w:rPr>
        <w:t xml:space="preserve">the </w:t>
      </w:r>
      <w:r w:rsidR="0096758B" w:rsidRPr="00B13DE3">
        <w:rPr>
          <w:rFonts w:ascii="Arial" w:hAnsi="Arial" w:cs="Arial"/>
        </w:rPr>
        <w:t>uranium</w:t>
      </w:r>
      <w:r w:rsidR="002C3CB5" w:rsidRPr="00B13DE3">
        <w:rPr>
          <w:rFonts w:ascii="Arial" w:hAnsi="Arial" w:cs="Arial"/>
        </w:rPr>
        <w:t xml:space="preserve"> doped </w:t>
      </w:r>
      <w:r w:rsidR="00437D8A" w:rsidRPr="00B13DE3">
        <w:rPr>
          <w:rFonts w:ascii="Arial" w:hAnsi="Arial" w:cs="Arial"/>
        </w:rPr>
        <w:t>zirconolite</w:t>
      </w:r>
      <w:r w:rsidR="00371110" w:rsidRPr="00B13DE3">
        <w:rPr>
          <w:rFonts w:ascii="Arial" w:hAnsi="Arial" w:cs="Arial"/>
        </w:rPr>
        <w:t xml:space="preserve"> </w:t>
      </w:r>
      <w:r w:rsidRPr="00B13DE3">
        <w:rPr>
          <w:rFonts w:ascii="Arial" w:hAnsi="Arial" w:cs="Arial"/>
        </w:rPr>
        <w:t xml:space="preserve">should be proposed which matures </w:t>
      </w:r>
      <w:r w:rsidR="00371110" w:rsidRPr="00B13DE3">
        <w:rPr>
          <w:rFonts w:ascii="Arial" w:hAnsi="Arial" w:cs="Arial"/>
        </w:rPr>
        <w:t>the NWS</w:t>
      </w:r>
      <w:r w:rsidRPr="00B13DE3">
        <w:rPr>
          <w:rFonts w:ascii="Arial" w:hAnsi="Arial" w:cs="Arial"/>
        </w:rPr>
        <w:t xml:space="preserve"> understanding of ceramic </w:t>
      </w:r>
      <w:r w:rsidR="00391234" w:rsidRPr="00B13DE3">
        <w:rPr>
          <w:rFonts w:ascii="Arial" w:hAnsi="Arial" w:cs="Arial"/>
        </w:rPr>
        <w:t xml:space="preserve">wasteform </w:t>
      </w:r>
      <w:r w:rsidRPr="00B13DE3">
        <w:rPr>
          <w:rFonts w:ascii="Arial" w:hAnsi="Arial" w:cs="Arial"/>
        </w:rPr>
        <w:t>dissolution mechanisms</w:t>
      </w:r>
      <w:r w:rsidR="00437D8A" w:rsidRPr="00B13DE3">
        <w:rPr>
          <w:rFonts w:ascii="Arial" w:hAnsi="Arial" w:cs="Arial"/>
        </w:rPr>
        <w:t>.</w:t>
      </w:r>
    </w:p>
    <w:p w14:paraId="12A20EAA" w14:textId="6AED70F4" w:rsidR="00734D76" w:rsidRPr="00B13DE3" w:rsidRDefault="00353E12" w:rsidP="005D6828">
      <w:pPr>
        <w:jc w:val="both"/>
        <w:rPr>
          <w:rFonts w:ascii="Arial" w:hAnsi="Arial" w:cs="Arial"/>
        </w:rPr>
      </w:pPr>
      <w:r w:rsidRPr="00B13DE3">
        <w:rPr>
          <w:rFonts w:ascii="Arial" w:hAnsi="Arial" w:cs="Arial"/>
        </w:rPr>
        <w:t xml:space="preserve">Successful proposals will demonstrate an established academic record of research and publication in </w:t>
      </w:r>
      <w:r w:rsidR="00FD2750" w:rsidRPr="00B13DE3">
        <w:rPr>
          <w:rFonts w:ascii="Arial" w:hAnsi="Arial" w:cs="Arial"/>
        </w:rPr>
        <w:t xml:space="preserve">ceramic </w:t>
      </w:r>
      <w:r w:rsidR="00653E75" w:rsidRPr="00B13DE3">
        <w:rPr>
          <w:rFonts w:ascii="Arial" w:hAnsi="Arial" w:cs="Arial"/>
        </w:rPr>
        <w:t>wasteform</w:t>
      </w:r>
      <w:r w:rsidR="00FD2750" w:rsidRPr="00B13DE3">
        <w:rPr>
          <w:rFonts w:ascii="Arial" w:hAnsi="Arial" w:cs="Arial"/>
        </w:rPr>
        <w:t xml:space="preserve"> </w:t>
      </w:r>
      <w:r w:rsidR="001F5C5D" w:rsidRPr="00B13DE3">
        <w:rPr>
          <w:rFonts w:ascii="Arial" w:hAnsi="Arial" w:cs="Arial"/>
        </w:rPr>
        <w:t xml:space="preserve">or related </w:t>
      </w:r>
      <w:r w:rsidR="00653E75" w:rsidRPr="00B13DE3">
        <w:rPr>
          <w:rFonts w:ascii="Arial" w:hAnsi="Arial" w:cs="Arial"/>
        </w:rPr>
        <w:t>studies</w:t>
      </w:r>
      <w:r w:rsidR="004F405C" w:rsidRPr="00B13DE3">
        <w:rPr>
          <w:rFonts w:ascii="Arial" w:hAnsi="Arial" w:cs="Arial"/>
        </w:rPr>
        <w:t xml:space="preserve">. Successful proposals will also </w:t>
      </w:r>
      <w:r w:rsidR="00E24401" w:rsidRPr="00B13DE3">
        <w:rPr>
          <w:rFonts w:ascii="Arial" w:hAnsi="Arial" w:cs="Arial"/>
        </w:rPr>
        <w:t>demonstrate</w:t>
      </w:r>
      <w:r w:rsidR="00653E75" w:rsidRPr="00B13DE3">
        <w:rPr>
          <w:rFonts w:ascii="Arial" w:hAnsi="Arial" w:cs="Arial"/>
        </w:rPr>
        <w:t xml:space="preserve"> access to suitable </w:t>
      </w:r>
      <w:r w:rsidR="00580F31" w:rsidRPr="00B13DE3">
        <w:rPr>
          <w:rFonts w:ascii="Arial" w:hAnsi="Arial" w:cs="Arial"/>
        </w:rPr>
        <w:t xml:space="preserve">samples </w:t>
      </w:r>
      <w:r w:rsidR="00391234" w:rsidRPr="00B13DE3">
        <w:rPr>
          <w:rFonts w:ascii="Arial" w:hAnsi="Arial" w:cs="Arial"/>
        </w:rPr>
        <w:t>(</w:t>
      </w:r>
      <w:r w:rsidR="00580F31" w:rsidRPr="00B13DE3">
        <w:rPr>
          <w:rFonts w:ascii="Arial" w:hAnsi="Arial" w:cs="Arial"/>
        </w:rPr>
        <w:t xml:space="preserve">or </w:t>
      </w:r>
      <w:r w:rsidR="00391234" w:rsidRPr="00B13DE3">
        <w:rPr>
          <w:rFonts w:ascii="Arial" w:hAnsi="Arial" w:cs="Arial"/>
        </w:rPr>
        <w:t xml:space="preserve">sample </w:t>
      </w:r>
      <w:r w:rsidR="004F405C" w:rsidRPr="00B13DE3">
        <w:rPr>
          <w:rFonts w:ascii="Arial" w:hAnsi="Arial" w:cs="Arial"/>
        </w:rPr>
        <w:t xml:space="preserve">fabrication </w:t>
      </w:r>
      <w:r w:rsidR="00580F31" w:rsidRPr="00B13DE3">
        <w:rPr>
          <w:rFonts w:ascii="Arial" w:hAnsi="Arial" w:cs="Arial"/>
        </w:rPr>
        <w:t>capabilities</w:t>
      </w:r>
      <w:r w:rsidR="00391234" w:rsidRPr="00B13DE3">
        <w:rPr>
          <w:rFonts w:ascii="Arial" w:hAnsi="Arial" w:cs="Arial"/>
        </w:rPr>
        <w:t>)</w:t>
      </w:r>
      <w:r w:rsidR="00BA7E28" w:rsidRPr="00B13DE3">
        <w:rPr>
          <w:rFonts w:ascii="Arial" w:hAnsi="Arial" w:cs="Arial"/>
        </w:rPr>
        <w:t xml:space="preserve"> and</w:t>
      </w:r>
      <w:r w:rsidR="004F405C" w:rsidRPr="00B13DE3">
        <w:rPr>
          <w:rFonts w:ascii="Arial" w:hAnsi="Arial" w:cs="Arial"/>
        </w:rPr>
        <w:t xml:space="preserve"> </w:t>
      </w:r>
      <w:r w:rsidR="00BA7E28" w:rsidRPr="00B13DE3">
        <w:rPr>
          <w:rFonts w:ascii="Arial" w:hAnsi="Arial" w:cs="Arial"/>
        </w:rPr>
        <w:t xml:space="preserve">experimental / </w:t>
      </w:r>
      <w:r w:rsidR="00653E75" w:rsidRPr="00B13DE3">
        <w:rPr>
          <w:rFonts w:ascii="Arial" w:hAnsi="Arial" w:cs="Arial"/>
        </w:rPr>
        <w:t xml:space="preserve">analytical </w:t>
      </w:r>
      <w:r w:rsidR="00E24401" w:rsidRPr="00B13DE3">
        <w:rPr>
          <w:rFonts w:ascii="Arial" w:hAnsi="Arial" w:cs="Arial"/>
        </w:rPr>
        <w:t>capacities</w:t>
      </w:r>
      <w:r w:rsidR="00653E75" w:rsidRPr="00B13DE3">
        <w:rPr>
          <w:rFonts w:ascii="Arial" w:hAnsi="Arial" w:cs="Arial"/>
        </w:rPr>
        <w:t xml:space="preserve"> </w:t>
      </w:r>
      <w:r w:rsidR="00E24401" w:rsidRPr="00B13DE3">
        <w:rPr>
          <w:rFonts w:ascii="Arial" w:hAnsi="Arial" w:cs="Arial"/>
        </w:rPr>
        <w:t xml:space="preserve">to undertake all proposed work </w:t>
      </w:r>
      <w:r w:rsidR="004F405C" w:rsidRPr="00B13DE3">
        <w:rPr>
          <w:rFonts w:ascii="Arial" w:hAnsi="Arial" w:cs="Arial"/>
        </w:rPr>
        <w:t xml:space="preserve">(either in-house or though </w:t>
      </w:r>
      <w:r w:rsidR="00E24401" w:rsidRPr="00B13DE3">
        <w:rPr>
          <w:rFonts w:ascii="Arial" w:hAnsi="Arial" w:cs="Arial"/>
        </w:rPr>
        <w:t xml:space="preserve">collaborative </w:t>
      </w:r>
      <w:r w:rsidR="004F405C" w:rsidRPr="00B13DE3">
        <w:rPr>
          <w:rFonts w:ascii="Arial" w:hAnsi="Arial" w:cs="Arial"/>
        </w:rPr>
        <w:t>arrangements)</w:t>
      </w:r>
      <w:r w:rsidR="00653E75" w:rsidRPr="00B13DE3">
        <w:rPr>
          <w:rFonts w:ascii="Arial" w:hAnsi="Arial" w:cs="Arial"/>
        </w:rPr>
        <w:t>.</w:t>
      </w:r>
      <w:r w:rsidRPr="00B13DE3">
        <w:rPr>
          <w:rFonts w:ascii="Arial" w:hAnsi="Arial" w:cs="Arial"/>
        </w:rPr>
        <w:t xml:space="preserve"> </w:t>
      </w:r>
      <w:r w:rsidR="00653E75" w:rsidRPr="00B13DE3">
        <w:rPr>
          <w:rFonts w:ascii="Arial" w:hAnsi="Arial" w:cs="Arial"/>
        </w:rPr>
        <w:t>Id</w:t>
      </w:r>
      <w:r w:rsidRPr="00B13DE3">
        <w:rPr>
          <w:rFonts w:ascii="Arial" w:hAnsi="Arial" w:cs="Arial"/>
        </w:rPr>
        <w:t xml:space="preserve">eally </w:t>
      </w:r>
      <w:r w:rsidR="00E24401" w:rsidRPr="00B13DE3">
        <w:rPr>
          <w:rFonts w:ascii="Arial" w:hAnsi="Arial" w:cs="Arial"/>
        </w:rPr>
        <w:t xml:space="preserve">applicants will be able to </w:t>
      </w:r>
      <w:r w:rsidR="00EF062A" w:rsidRPr="00B13DE3">
        <w:rPr>
          <w:rFonts w:ascii="Arial" w:hAnsi="Arial" w:cs="Arial"/>
        </w:rPr>
        <w:t>demonstrate</w:t>
      </w:r>
      <w:r w:rsidR="00E24401" w:rsidRPr="00B13DE3">
        <w:rPr>
          <w:rFonts w:ascii="Arial" w:hAnsi="Arial" w:cs="Arial"/>
        </w:rPr>
        <w:t xml:space="preserve"> </w:t>
      </w:r>
      <w:r w:rsidRPr="00B13DE3">
        <w:rPr>
          <w:rFonts w:ascii="Arial" w:hAnsi="Arial" w:cs="Arial"/>
        </w:rPr>
        <w:t xml:space="preserve">experience </w:t>
      </w:r>
      <w:r w:rsidR="00070610" w:rsidRPr="00B13DE3">
        <w:rPr>
          <w:rFonts w:ascii="Arial" w:hAnsi="Arial" w:cs="Arial"/>
        </w:rPr>
        <w:t>in the design, fabrication, characterisation</w:t>
      </w:r>
      <w:r w:rsidR="00C01FCF" w:rsidRPr="00B13DE3">
        <w:rPr>
          <w:rFonts w:ascii="Arial" w:hAnsi="Arial" w:cs="Arial"/>
        </w:rPr>
        <w:t xml:space="preserve"> and</w:t>
      </w:r>
      <w:r w:rsidR="00E24401" w:rsidRPr="00B13DE3">
        <w:rPr>
          <w:rFonts w:ascii="Arial" w:hAnsi="Arial" w:cs="Arial"/>
        </w:rPr>
        <w:t xml:space="preserve"> </w:t>
      </w:r>
      <w:r w:rsidR="00EF062A" w:rsidRPr="00B13DE3">
        <w:rPr>
          <w:rFonts w:ascii="Arial" w:hAnsi="Arial" w:cs="Arial"/>
        </w:rPr>
        <w:t>leaching of ceramic products</w:t>
      </w:r>
      <w:r w:rsidR="00734D76" w:rsidRPr="00B13DE3">
        <w:rPr>
          <w:rFonts w:ascii="Arial" w:hAnsi="Arial" w:cs="Arial"/>
        </w:rPr>
        <w:t>,</w:t>
      </w:r>
      <w:r w:rsidR="00EF062A" w:rsidRPr="00B13DE3">
        <w:rPr>
          <w:rFonts w:ascii="Arial" w:hAnsi="Arial" w:cs="Arial"/>
        </w:rPr>
        <w:t xml:space="preserve"> </w:t>
      </w:r>
      <w:r w:rsidR="008227FA" w:rsidRPr="00B13DE3">
        <w:rPr>
          <w:rFonts w:ascii="Arial" w:hAnsi="Arial" w:cs="Arial"/>
        </w:rPr>
        <w:t>while</w:t>
      </w:r>
      <w:r w:rsidR="00EF062A" w:rsidRPr="00B13DE3">
        <w:rPr>
          <w:rFonts w:ascii="Arial" w:hAnsi="Arial" w:cs="Arial"/>
        </w:rPr>
        <w:t xml:space="preserve"> </w:t>
      </w:r>
      <w:r w:rsidR="00734D76" w:rsidRPr="00B13DE3">
        <w:rPr>
          <w:rFonts w:ascii="Arial" w:hAnsi="Arial" w:cs="Arial"/>
        </w:rPr>
        <w:t xml:space="preserve">clearly </w:t>
      </w:r>
      <w:r w:rsidR="008227FA" w:rsidRPr="00B13DE3">
        <w:rPr>
          <w:rFonts w:ascii="Arial" w:hAnsi="Arial" w:cs="Arial"/>
        </w:rPr>
        <w:t xml:space="preserve">identifying </w:t>
      </w:r>
      <w:r w:rsidR="00EF062A" w:rsidRPr="00B13DE3">
        <w:rPr>
          <w:rFonts w:ascii="Arial" w:hAnsi="Arial" w:cs="Arial"/>
        </w:rPr>
        <w:t>the challenges these activities present.</w:t>
      </w:r>
      <w:r w:rsidRPr="00B13DE3">
        <w:rPr>
          <w:rFonts w:ascii="Arial" w:hAnsi="Arial" w:cs="Arial"/>
        </w:rPr>
        <w:t xml:space="preserve"> </w:t>
      </w:r>
    </w:p>
    <w:p w14:paraId="12122C61" w14:textId="4102535B" w:rsidR="00EF4DA9" w:rsidRPr="00B13DE3" w:rsidRDefault="00353E12" w:rsidP="00A27529">
      <w:pPr>
        <w:jc w:val="both"/>
        <w:rPr>
          <w:rFonts w:ascii="Arial" w:hAnsi="Arial" w:cs="Arial"/>
        </w:rPr>
      </w:pPr>
      <w:r w:rsidRPr="00B13DE3">
        <w:rPr>
          <w:rFonts w:ascii="Arial" w:hAnsi="Arial" w:cs="Arial"/>
        </w:rPr>
        <w:t xml:space="preserve">The research timetable and proposed outputs should include </w:t>
      </w:r>
      <w:r w:rsidR="00B64962" w:rsidRPr="00B13DE3">
        <w:rPr>
          <w:rFonts w:ascii="Arial" w:hAnsi="Arial" w:cs="Arial"/>
        </w:rPr>
        <w:t xml:space="preserve">a quality plan, a suitable number of </w:t>
      </w:r>
      <w:r w:rsidR="00953B70" w:rsidRPr="00B13DE3">
        <w:rPr>
          <w:rFonts w:ascii="Arial" w:hAnsi="Arial" w:cs="Arial"/>
        </w:rPr>
        <w:t>detailed technical reports</w:t>
      </w:r>
      <w:r w:rsidR="00C01FCF" w:rsidRPr="00B13DE3">
        <w:rPr>
          <w:rFonts w:ascii="Arial" w:hAnsi="Arial" w:cs="Arial"/>
        </w:rPr>
        <w:t xml:space="preserve"> (e.g., reports covering the outputs of Stage 1, Stage 2 and a </w:t>
      </w:r>
      <w:r w:rsidR="00DC7FE3" w:rsidRPr="00B13DE3">
        <w:rPr>
          <w:rFonts w:ascii="Arial" w:hAnsi="Arial" w:cs="Arial"/>
        </w:rPr>
        <w:t>final s</w:t>
      </w:r>
      <w:r w:rsidR="00C01FCF" w:rsidRPr="00B13DE3">
        <w:rPr>
          <w:rFonts w:ascii="Arial" w:hAnsi="Arial" w:cs="Arial"/>
        </w:rPr>
        <w:t xml:space="preserve">ummary </w:t>
      </w:r>
      <w:r w:rsidR="00DC7FE3" w:rsidRPr="00B13DE3">
        <w:rPr>
          <w:rFonts w:ascii="Arial" w:hAnsi="Arial" w:cs="Arial"/>
        </w:rPr>
        <w:t>r</w:t>
      </w:r>
      <w:r w:rsidR="00C01FCF" w:rsidRPr="00B13DE3">
        <w:rPr>
          <w:rFonts w:ascii="Arial" w:hAnsi="Arial" w:cs="Arial"/>
        </w:rPr>
        <w:t>eport</w:t>
      </w:r>
      <w:r w:rsidR="00DC7FE3" w:rsidRPr="00B13DE3">
        <w:rPr>
          <w:rFonts w:ascii="Arial" w:hAnsi="Arial" w:cs="Arial"/>
        </w:rPr>
        <w:t xml:space="preserve">) and </w:t>
      </w:r>
      <w:r w:rsidR="00B64962" w:rsidRPr="00B13DE3">
        <w:rPr>
          <w:rFonts w:ascii="Arial" w:hAnsi="Arial" w:cs="Arial"/>
        </w:rPr>
        <w:t>a</w:t>
      </w:r>
      <w:r w:rsidR="00953B70" w:rsidRPr="00B13DE3">
        <w:rPr>
          <w:rFonts w:ascii="Arial" w:hAnsi="Arial" w:cs="Arial"/>
        </w:rPr>
        <w:t xml:space="preserve"> </w:t>
      </w:r>
      <w:r w:rsidR="00DC7FE3" w:rsidRPr="00B13DE3">
        <w:rPr>
          <w:rFonts w:ascii="Arial" w:hAnsi="Arial" w:cs="Arial"/>
        </w:rPr>
        <w:t xml:space="preserve">full </w:t>
      </w:r>
      <w:r w:rsidR="00B64962" w:rsidRPr="00B13DE3">
        <w:rPr>
          <w:rFonts w:ascii="Arial" w:hAnsi="Arial" w:cs="Arial"/>
        </w:rPr>
        <w:t>data pack</w:t>
      </w:r>
      <w:r w:rsidR="00953B70" w:rsidRPr="00B13DE3">
        <w:rPr>
          <w:rFonts w:ascii="Arial" w:hAnsi="Arial" w:cs="Arial"/>
        </w:rPr>
        <w:t xml:space="preserve"> </w:t>
      </w:r>
      <w:r w:rsidR="00B64962" w:rsidRPr="00B13DE3">
        <w:rPr>
          <w:rFonts w:ascii="Arial" w:hAnsi="Arial" w:cs="Arial"/>
        </w:rPr>
        <w:t xml:space="preserve">containing results </w:t>
      </w:r>
      <w:r w:rsidR="00953B70" w:rsidRPr="00B13DE3">
        <w:rPr>
          <w:rFonts w:ascii="Arial" w:hAnsi="Arial" w:cs="Arial"/>
        </w:rPr>
        <w:t>for NWS record keeping</w:t>
      </w:r>
      <w:r w:rsidR="00DC7FE3" w:rsidRPr="00B13DE3">
        <w:rPr>
          <w:rFonts w:ascii="Arial" w:hAnsi="Arial" w:cs="Arial"/>
        </w:rPr>
        <w:t>.</w:t>
      </w:r>
    </w:p>
    <w:p w14:paraId="74BB2B40" w14:textId="62433F07" w:rsidR="00CB35B5" w:rsidRPr="00B6286F" w:rsidRDefault="00844D16">
      <w:r>
        <w:br w:type="page"/>
      </w:r>
    </w:p>
    <w:p w14:paraId="2629CECA" w14:textId="7E349F76" w:rsidR="00844D16" w:rsidRPr="00844D16" w:rsidRDefault="0085795B" w:rsidP="00512713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lastRenderedPageBreak/>
        <w:t xml:space="preserve">Proposals </w:t>
      </w:r>
      <w:r w:rsidR="00527D4B">
        <w:rPr>
          <w:rFonts w:ascii="Arial" w:eastAsia="Calibri" w:hAnsi="Arial" w:cs="Arial"/>
          <w:b/>
          <w:sz w:val="24"/>
        </w:rPr>
        <w:t>E</w:t>
      </w:r>
      <w:r>
        <w:rPr>
          <w:rFonts w:ascii="Arial" w:eastAsia="Calibri" w:hAnsi="Arial" w:cs="Arial"/>
          <w:b/>
          <w:sz w:val="24"/>
        </w:rPr>
        <w:t>valuation</w:t>
      </w:r>
      <w:r w:rsidR="00844D16" w:rsidRPr="00844D16">
        <w:rPr>
          <w:rFonts w:ascii="Arial" w:eastAsia="Calibri" w:hAnsi="Arial" w:cs="Arial"/>
          <w:b/>
          <w:sz w:val="24"/>
        </w:rPr>
        <w:t xml:space="preserve"> </w:t>
      </w:r>
      <w:r w:rsidR="00527D4B">
        <w:rPr>
          <w:rFonts w:ascii="Arial" w:eastAsia="Calibri" w:hAnsi="Arial" w:cs="Arial"/>
          <w:b/>
          <w:sz w:val="24"/>
        </w:rPr>
        <w:t>C</w:t>
      </w:r>
      <w:r w:rsidR="00844D16" w:rsidRPr="00844D16">
        <w:rPr>
          <w:rFonts w:ascii="Arial" w:eastAsia="Calibri" w:hAnsi="Arial" w:cs="Arial"/>
          <w:b/>
          <w:sz w:val="24"/>
        </w:rPr>
        <w:t>riteria</w:t>
      </w:r>
    </w:p>
    <w:p w14:paraId="2CEEF406" w14:textId="77777777" w:rsidR="00844D16" w:rsidRPr="00844D16" w:rsidRDefault="00844D16" w:rsidP="0051271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145F72" w14:textId="3E8425F7" w:rsidR="00844D16" w:rsidRPr="00844D16" w:rsidRDefault="00844D16" w:rsidP="00512713">
      <w:pPr>
        <w:spacing w:after="0" w:line="240" w:lineRule="auto"/>
        <w:jc w:val="both"/>
        <w:rPr>
          <w:rFonts w:ascii="Arial" w:eastAsia="Calibri" w:hAnsi="Arial" w:cs="Arial"/>
        </w:rPr>
      </w:pPr>
      <w:r w:rsidRPr="00844D16">
        <w:rPr>
          <w:rFonts w:ascii="Arial" w:eastAsia="Calibri" w:hAnsi="Arial" w:cs="Arial"/>
        </w:rPr>
        <w:t xml:space="preserve">The details requested from applicants and how these will be </w:t>
      </w:r>
      <w:r w:rsidR="0085795B">
        <w:rPr>
          <w:rFonts w:ascii="Arial" w:eastAsia="Calibri" w:hAnsi="Arial" w:cs="Arial"/>
        </w:rPr>
        <w:t>evaluated</w:t>
      </w:r>
      <w:r w:rsidRPr="00844D16">
        <w:rPr>
          <w:rFonts w:ascii="Arial" w:eastAsia="Calibri" w:hAnsi="Arial" w:cs="Arial"/>
        </w:rPr>
        <w:t xml:space="preserve"> </w:t>
      </w:r>
      <w:r w:rsidR="0085795B">
        <w:rPr>
          <w:rFonts w:ascii="Arial" w:eastAsia="Calibri" w:hAnsi="Arial" w:cs="Arial"/>
        </w:rPr>
        <w:t>are</w:t>
      </w:r>
      <w:r w:rsidRPr="00844D16">
        <w:rPr>
          <w:rFonts w:ascii="Arial" w:eastAsia="Calibri" w:hAnsi="Arial" w:cs="Arial"/>
        </w:rPr>
        <w:t xml:space="preserve"> as follows:</w:t>
      </w:r>
    </w:p>
    <w:p w14:paraId="41B67269" w14:textId="77777777" w:rsidR="00844D16" w:rsidRPr="00844D16" w:rsidRDefault="00844D16" w:rsidP="00512713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14:paraId="0F4FEB88" w14:textId="77777777" w:rsidR="00844D16" w:rsidRPr="00844D16" w:rsidRDefault="00844D16" w:rsidP="0051271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80B7B87" w14:textId="3B72A6C7" w:rsidR="00844D16" w:rsidRPr="007258C0" w:rsidRDefault="00844D16" w:rsidP="005127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258C0">
        <w:rPr>
          <w:rFonts w:ascii="Arial" w:eastAsia="Calibri" w:hAnsi="Arial" w:cs="Arial"/>
          <w:b/>
        </w:rPr>
        <w:t>Confirm that the project would start</w:t>
      </w:r>
      <w:r w:rsidR="00A3071F">
        <w:rPr>
          <w:rFonts w:ascii="Arial" w:eastAsia="Calibri" w:hAnsi="Arial" w:cs="Arial"/>
          <w:b/>
        </w:rPr>
        <w:t xml:space="preserve"> </w:t>
      </w:r>
      <w:r w:rsidR="00512713" w:rsidRPr="00C91D5C">
        <w:rPr>
          <w:rFonts w:ascii="Arial" w:eastAsia="Calibri" w:hAnsi="Arial" w:cs="Arial"/>
          <w:b/>
        </w:rPr>
        <w:t>in</w:t>
      </w:r>
      <w:r w:rsidR="00512713">
        <w:rPr>
          <w:rFonts w:ascii="Arial" w:eastAsia="Calibri" w:hAnsi="Arial" w:cs="Arial"/>
          <w:b/>
        </w:rPr>
        <w:t xml:space="preserve"> </w:t>
      </w:r>
      <w:r w:rsidR="004A147C">
        <w:rPr>
          <w:rFonts w:ascii="Arial" w:eastAsia="Calibri" w:hAnsi="Arial" w:cs="Arial"/>
          <w:b/>
        </w:rPr>
        <w:t>July</w:t>
      </w:r>
      <w:r w:rsidR="004A147C" w:rsidRPr="007258C0">
        <w:rPr>
          <w:rFonts w:ascii="Arial" w:eastAsia="Calibri" w:hAnsi="Arial" w:cs="Arial"/>
          <w:b/>
        </w:rPr>
        <w:t xml:space="preserve"> 202</w:t>
      </w:r>
      <w:r w:rsidR="004A147C">
        <w:rPr>
          <w:rFonts w:ascii="Arial" w:eastAsia="Calibri" w:hAnsi="Arial" w:cs="Arial"/>
          <w:b/>
        </w:rPr>
        <w:t>4</w:t>
      </w:r>
      <w:r w:rsidR="004A147C" w:rsidRPr="007258C0">
        <w:rPr>
          <w:rFonts w:ascii="Arial" w:eastAsia="Calibri" w:hAnsi="Arial" w:cs="Arial"/>
          <w:b/>
        </w:rPr>
        <w:t xml:space="preserve"> </w:t>
      </w:r>
      <w:r w:rsidRPr="007258C0">
        <w:rPr>
          <w:rFonts w:ascii="Arial" w:eastAsia="Calibri" w:hAnsi="Arial" w:cs="Arial"/>
          <w:b/>
        </w:rPr>
        <w:t>and</w:t>
      </w:r>
      <w:r w:rsidR="005E5F01">
        <w:rPr>
          <w:rFonts w:ascii="Arial" w:eastAsia="Calibri" w:hAnsi="Arial" w:cs="Arial"/>
          <w:b/>
        </w:rPr>
        <w:t xml:space="preserve"> be</w:t>
      </w:r>
      <w:r w:rsidRPr="007258C0">
        <w:rPr>
          <w:rFonts w:ascii="Arial" w:eastAsia="Calibri" w:hAnsi="Arial" w:cs="Arial"/>
          <w:b/>
        </w:rPr>
        <w:t xml:space="preserve"> complete</w:t>
      </w:r>
      <w:r w:rsidR="005E5F01">
        <w:rPr>
          <w:rFonts w:ascii="Arial" w:eastAsia="Calibri" w:hAnsi="Arial" w:cs="Arial"/>
          <w:b/>
        </w:rPr>
        <w:t>d</w:t>
      </w:r>
      <w:r w:rsidR="00A3071F">
        <w:rPr>
          <w:rFonts w:ascii="Arial" w:eastAsia="Calibri" w:hAnsi="Arial" w:cs="Arial"/>
          <w:b/>
        </w:rPr>
        <w:t xml:space="preserve"> by </w:t>
      </w:r>
      <w:r w:rsidR="004A147C">
        <w:rPr>
          <w:rFonts w:ascii="Arial" w:eastAsia="Calibri" w:hAnsi="Arial" w:cs="Arial"/>
          <w:b/>
        </w:rPr>
        <w:t>July 2026</w:t>
      </w:r>
      <w:r w:rsidR="00A3071F">
        <w:rPr>
          <w:rFonts w:ascii="Arial" w:eastAsia="Calibri" w:hAnsi="Arial" w:cs="Arial"/>
          <w:b/>
        </w:rPr>
        <w:t>.</w:t>
      </w:r>
    </w:p>
    <w:p w14:paraId="3B8EA995" w14:textId="77777777" w:rsidR="00844D16" w:rsidRPr="0085795B" w:rsidRDefault="00844D16" w:rsidP="00512713">
      <w:pPr>
        <w:spacing w:after="0" w:line="240" w:lineRule="auto"/>
        <w:ind w:left="420"/>
        <w:contextualSpacing/>
        <w:jc w:val="both"/>
        <w:rPr>
          <w:rFonts w:ascii="Arial" w:eastAsia="Calibri" w:hAnsi="Arial" w:cs="Arial"/>
          <w:highlight w:val="yellow"/>
        </w:rPr>
      </w:pPr>
    </w:p>
    <w:p w14:paraId="6B0C942A" w14:textId="3B52D030" w:rsidR="00844D16" w:rsidRPr="0085795B" w:rsidRDefault="00844D16" w:rsidP="00512713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  <w:r w:rsidRPr="00353E12">
        <w:rPr>
          <w:rFonts w:ascii="Arial" w:eastAsia="Calibri" w:hAnsi="Arial" w:cs="Arial"/>
        </w:rPr>
        <w:t xml:space="preserve">Applicants are requested to confirm the project will be able to start in </w:t>
      </w:r>
      <w:r w:rsidR="00512713" w:rsidRPr="00C91D5C">
        <w:rPr>
          <w:rFonts w:ascii="Arial" w:eastAsia="Calibri" w:hAnsi="Arial" w:cs="Arial"/>
        </w:rPr>
        <w:t>July</w:t>
      </w:r>
      <w:r w:rsidR="00512713">
        <w:rPr>
          <w:rFonts w:ascii="Arial" w:eastAsia="Calibri" w:hAnsi="Arial" w:cs="Arial"/>
        </w:rPr>
        <w:t xml:space="preserve"> </w:t>
      </w:r>
      <w:r w:rsidR="0044716D" w:rsidRPr="00353E12">
        <w:rPr>
          <w:rFonts w:ascii="Arial" w:eastAsia="Calibri" w:hAnsi="Arial" w:cs="Arial"/>
        </w:rPr>
        <w:t>202</w:t>
      </w:r>
      <w:r w:rsidR="0044716D">
        <w:rPr>
          <w:rFonts w:ascii="Arial" w:eastAsia="Calibri" w:hAnsi="Arial" w:cs="Arial"/>
        </w:rPr>
        <w:t>4</w:t>
      </w:r>
      <w:r w:rsidR="0044716D" w:rsidRPr="00353E12">
        <w:rPr>
          <w:rFonts w:ascii="Arial" w:eastAsia="Calibri" w:hAnsi="Arial" w:cs="Arial"/>
        </w:rPr>
        <w:t xml:space="preserve"> </w:t>
      </w:r>
      <w:r w:rsidRPr="00353E12">
        <w:rPr>
          <w:rFonts w:ascii="Arial" w:eastAsia="Calibri" w:hAnsi="Arial" w:cs="Arial"/>
        </w:rPr>
        <w:t xml:space="preserve">and be </w:t>
      </w:r>
      <w:r w:rsidRPr="007258C0">
        <w:rPr>
          <w:rFonts w:ascii="Arial" w:eastAsia="Calibri" w:hAnsi="Arial" w:cs="Arial"/>
        </w:rPr>
        <w:t xml:space="preserve">completed within </w:t>
      </w:r>
      <w:r w:rsidR="0044716D">
        <w:rPr>
          <w:rFonts w:ascii="Arial" w:eastAsia="Calibri" w:hAnsi="Arial" w:cs="Arial"/>
        </w:rPr>
        <w:t xml:space="preserve">24 </w:t>
      </w:r>
      <w:r w:rsidR="007258C0">
        <w:rPr>
          <w:rFonts w:ascii="Arial" w:eastAsia="Calibri" w:hAnsi="Arial" w:cs="Arial"/>
        </w:rPr>
        <w:t>months</w:t>
      </w:r>
      <w:r w:rsidRPr="007258C0">
        <w:rPr>
          <w:rFonts w:ascii="Arial" w:eastAsia="Calibri" w:hAnsi="Arial" w:cs="Arial"/>
        </w:rPr>
        <w:t>.</w:t>
      </w:r>
    </w:p>
    <w:p w14:paraId="5C9D03B2" w14:textId="77777777" w:rsidR="00844D16" w:rsidRPr="0085795B" w:rsidRDefault="00844D16" w:rsidP="00512713">
      <w:pPr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14:paraId="0EA3A7FF" w14:textId="3BC67133" w:rsidR="00844D16" w:rsidRPr="00844D16" w:rsidRDefault="000358D3" w:rsidP="00512713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Applicant to confirm </w:t>
      </w:r>
      <w:r w:rsidR="00877303">
        <w:rPr>
          <w:rFonts w:ascii="Arial" w:eastAsia="Calibri" w:hAnsi="Arial" w:cs="Arial"/>
          <w:b/>
        </w:rPr>
        <w:t>project will be able to start in July 2024: Yes</w:t>
      </w:r>
      <w:r w:rsidR="00844D16" w:rsidRPr="007258C0">
        <w:rPr>
          <w:rFonts w:ascii="Arial" w:eastAsia="Calibri" w:hAnsi="Arial" w:cs="Arial"/>
          <w:b/>
        </w:rPr>
        <w:t>/</w:t>
      </w:r>
      <w:r w:rsidR="00877303">
        <w:rPr>
          <w:rFonts w:ascii="Arial" w:eastAsia="Calibri" w:hAnsi="Arial" w:cs="Arial"/>
          <w:b/>
        </w:rPr>
        <w:t xml:space="preserve"> No</w:t>
      </w:r>
    </w:p>
    <w:p w14:paraId="37709D6E" w14:textId="77777777" w:rsidR="00844D16" w:rsidRPr="00844D16" w:rsidRDefault="00844D16" w:rsidP="00512713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545CD9" w14:textId="77777777" w:rsidR="00844D16" w:rsidRPr="00844D16" w:rsidRDefault="00844D16" w:rsidP="0051271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D7AF382" w14:textId="2C8ECBF8" w:rsidR="00844D16" w:rsidRPr="00844D16" w:rsidRDefault="00844D16" w:rsidP="005127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844D16">
        <w:rPr>
          <w:rFonts w:ascii="Arial" w:eastAsia="Calibri" w:hAnsi="Arial" w:cs="Arial"/>
          <w:b/>
        </w:rPr>
        <w:t xml:space="preserve">Acceptance of the attached terms and conditions of the </w:t>
      </w:r>
      <w:r w:rsidR="00E776EE">
        <w:rPr>
          <w:rFonts w:ascii="Arial" w:eastAsia="Calibri" w:hAnsi="Arial" w:cs="Arial"/>
          <w:b/>
        </w:rPr>
        <w:t>grant</w:t>
      </w:r>
      <w:r w:rsidRPr="00844D16">
        <w:rPr>
          <w:rFonts w:ascii="Arial" w:eastAsia="Calibri" w:hAnsi="Arial" w:cs="Arial"/>
          <w:b/>
        </w:rPr>
        <w:t xml:space="preserve"> is mandatory:</w:t>
      </w:r>
    </w:p>
    <w:p w14:paraId="10DC93AD" w14:textId="135519D3" w:rsidR="00844D16" w:rsidRPr="00B07393" w:rsidRDefault="00844D16" w:rsidP="0051271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B07393">
        <w:rPr>
          <w:rFonts w:ascii="Arial" w:eastAsia="Calibri" w:hAnsi="Arial" w:cs="Arial"/>
        </w:rPr>
        <w:t xml:space="preserve">Acceptance of the </w:t>
      </w:r>
      <w:r w:rsidR="00412EDE" w:rsidRPr="00B07393">
        <w:rPr>
          <w:rFonts w:ascii="Arial" w:eastAsia="Calibri" w:hAnsi="Arial" w:cs="Arial"/>
        </w:rPr>
        <w:t xml:space="preserve">attached </w:t>
      </w:r>
      <w:r w:rsidR="00B80339">
        <w:rPr>
          <w:rFonts w:ascii="Arial" w:eastAsia="Calibri" w:hAnsi="Arial" w:cs="Arial"/>
        </w:rPr>
        <w:t>NWS</w:t>
      </w:r>
      <w:r w:rsidRPr="00B07393">
        <w:rPr>
          <w:rFonts w:ascii="Arial" w:eastAsia="Calibri" w:hAnsi="Arial" w:cs="Arial"/>
        </w:rPr>
        <w:t xml:space="preserve"> terms and conditions </w:t>
      </w:r>
      <w:r w:rsidR="00B07393">
        <w:rPr>
          <w:rFonts w:ascii="Arial" w:eastAsia="Calibri" w:hAnsi="Arial" w:cs="Arial"/>
        </w:rPr>
        <w:t>is</w:t>
      </w:r>
      <w:r w:rsidRPr="00B07393">
        <w:rPr>
          <w:rFonts w:ascii="Arial" w:eastAsia="Calibri" w:hAnsi="Arial" w:cs="Arial"/>
        </w:rPr>
        <w:t xml:space="preserve"> mandatory. A completed grant agreement isn’t needed with the </w:t>
      </w:r>
      <w:r w:rsidR="00B74888" w:rsidRPr="00B07393">
        <w:rPr>
          <w:rFonts w:ascii="Arial" w:eastAsia="Calibri" w:hAnsi="Arial" w:cs="Arial"/>
        </w:rPr>
        <w:t>application but</w:t>
      </w:r>
      <w:r w:rsidRPr="00B07393">
        <w:rPr>
          <w:rFonts w:ascii="Arial" w:eastAsia="Calibri" w:hAnsi="Arial" w:cs="Arial"/>
        </w:rPr>
        <w:t xml:space="preserve"> will be required if funding is awarded. </w:t>
      </w:r>
    </w:p>
    <w:p w14:paraId="3FBA404A" w14:textId="73A1B4BA" w:rsidR="002252F3" w:rsidRDefault="002252F3" w:rsidP="0051271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B07393">
        <w:rPr>
          <w:rFonts w:ascii="Arial" w:eastAsia="Calibri" w:hAnsi="Arial" w:cs="Arial"/>
        </w:rPr>
        <w:t>If the grant agreement is not signed on award, then funding will not be issued.</w:t>
      </w:r>
    </w:p>
    <w:p w14:paraId="1D9F4B31" w14:textId="79F730B7" w:rsidR="00B07393" w:rsidRPr="00B07393" w:rsidRDefault="00B07393" w:rsidP="0051271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after the grant award the grant agreement is not signed within 30 days, then </w:t>
      </w:r>
      <w:r w:rsidR="00B80339">
        <w:rPr>
          <w:rFonts w:ascii="Arial" w:eastAsia="Calibri" w:hAnsi="Arial" w:cs="Arial"/>
        </w:rPr>
        <w:t>NWS</w:t>
      </w:r>
      <w:r>
        <w:rPr>
          <w:rFonts w:ascii="Arial" w:eastAsia="Calibri" w:hAnsi="Arial" w:cs="Arial"/>
        </w:rPr>
        <w:t xml:space="preserve"> reserves the right to withdraw the award of the grant.</w:t>
      </w:r>
    </w:p>
    <w:p w14:paraId="791A1854" w14:textId="77777777" w:rsidR="00844D16" w:rsidRPr="00844D16" w:rsidRDefault="00844D16" w:rsidP="00844D16">
      <w:pPr>
        <w:spacing w:after="0" w:line="240" w:lineRule="auto"/>
        <w:ind w:left="60"/>
        <w:rPr>
          <w:rFonts w:ascii="Arial" w:eastAsia="Calibri" w:hAnsi="Arial" w:cs="Arial"/>
        </w:rPr>
      </w:pPr>
    </w:p>
    <w:p w14:paraId="11625C04" w14:textId="2BBC6865" w:rsidR="00B6247A" w:rsidRPr="00844D16" w:rsidRDefault="00B6247A" w:rsidP="00B6247A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Applicant to confirm </w:t>
      </w:r>
      <w:r w:rsidR="00C72FEA">
        <w:rPr>
          <w:rFonts w:ascii="Arial" w:eastAsia="Calibri" w:hAnsi="Arial" w:cs="Arial"/>
          <w:b/>
        </w:rPr>
        <w:t>acceptance of NWS Terms and Conditions</w:t>
      </w:r>
      <w:r>
        <w:rPr>
          <w:rFonts w:ascii="Arial" w:eastAsia="Calibri" w:hAnsi="Arial" w:cs="Arial"/>
          <w:b/>
        </w:rPr>
        <w:t>: Yes</w:t>
      </w:r>
      <w:r w:rsidRPr="007258C0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 xml:space="preserve"> No</w:t>
      </w:r>
    </w:p>
    <w:p w14:paraId="79244F77" w14:textId="77777777" w:rsidR="00844D16" w:rsidRDefault="00844D16" w:rsidP="00844D16">
      <w:pPr>
        <w:spacing w:after="0" w:line="240" w:lineRule="auto"/>
        <w:rPr>
          <w:rFonts w:ascii="Arial" w:eastAsia="Calibri" w:hAnsi="Arial" w:cs="Arial"/>
          <w:b/>
        </w:rPr>
      </w:pPr>
    </w:p>
    <w:p w14:paraId="1677EA40" w14:textId="77777777" w:rsidR="00B6247A" w:rsidRPr="00844D16" w:rsidRDefault="00B6247A" w:rsidP="00844D16">
      <w:pPr>
        <w:spacing w:after="0" w:line="240" w:lineRule="auto"/>
        <w:rPr>
          <w:rFonts w:ascii="Arial" w:eastAsia="Calibri" w:hAnsi="Arial" w:cs="Arial"/>
          <w:b/>
        </w:rPr>
      </w:pPr>
    </w:p>
    <w:p w14:paraId="6380B2E2" w14:textId="7478AF8B" w:rsidR="00412EDE" w:rsidRDefault="00412EDE" w:rsidP="00412EDE">
      <w:pPr>
        <w:numPr>
          <w:ilvl w:val="0"/>
          <w:numId w:val="14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Evaluation criteria</w:t>
      </w:r>
      <w:r w:rsidR="00844D16" w:rsidRPr="00844D16">
        <w:rPr>
          <w:rFonts w:ascii="Arial" w:eastAsia="Calibri" w:hAnsi="Arial" w:cs="Arial"/>
          <w:b/>
        </w:rPr>
        <w:t>:</w:t>
      </w:r>
    </w:p>
    <w:p w14:paraId="0001CC10" w14:textId="77777777" w:rsidR="00725504" w:rsidRDefault="00725504" w:rsidP="00725504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829"/>
        <w:gridCol w:w="1293"/>
        <w:gridCol w:w="4906"/>
      </w:tblGrid>
      <w:tr w:rsidR="005B64C7" w:rsidRPr="008879A6" w14:paraId="1CF91245" w14:textId="77777777" w:rsidTr="00664344">
        <w:trPr>
          <w:trHeight w:val="1135"/>
        </w:trPr>
        <w:tc>
          <w:tcPr>
            <w:tcW w:w="1098" w:type="pct"/>
            <w:shd w:val="clear" w:color="auto" w:fill="auto"/>
            <w:vAlign w:val="center"/>
            <w:hideMark/>
          </w:tcPr>
          <w:p w14:paraId="75DCC0A9" w14:textId="77777777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Scoring criteria 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0D815EC" w14:textId="77777777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Score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CDC264" w14:textId="77777777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Weighting (out of 100%) 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2F9AAFCF" w14:textId="77777777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Description and guidance notes</w:t>
            </w:r>
          </w:p>
        </w:tc>
      </w:tr>
      <w:tr w:rsidR="005B64C7" w:rsidRPr="008879A6" w14:paraId="793FF3A4" w14:textId="77777777" w:rsidTr="00553FF2">
        <w:trPr>
          <w:trHeight w:val="541"/>
        </w:trPr>
        <w:tc>
          <w:tcPr>
            <w:tcW w:w="1098" w:type="pct"/>
            <w:shd w:val="clear" w:color="auto" w:fill="auto"/>
            <w:vAlign w:val="center"/>
            <w:hideMark/>
          </w:tcPr>
          <w:p w14:paraId="2E3188E5" w14:textId="77777777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Research Excellence 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D5D8C70" w14:textId="052839D1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 </w:t>
            </w:r>
            <w:r w:rsidR="005B64C7" w:rsidRPr="007453B6">
              <w:rPr>
                <w:rFonts w:ascii="Arial" w:eastAsia="Times New Roman" w:hAnsi="Arial" w:cs="Arial"/>
                <w:lang w:eastAsia="en-GB"/>
              </w:rPr>
              <w:t>/4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E176F5" w14:textId="52FED328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35%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5C5B5FAD" w14:textId="77777777" w:rsidR="00FC0B97" w:rsidRPr="007453B6" w:rsidRDefault="00C91D5C" w:rsidP="005B6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The response will clearly define the scope and main deliverables from the project.</w:t>
            </w:r>
          </w:p>
          <w:p w14:paraId="1353B8AE" w14:textId="77777777" w:rsidR="00FC0B97" w:rsidRPr="007453B6" w:rsidRDefault="00FC0B97" w:rsidP="00FC0B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406358" w14:textId="6FD869AF" w:rsidR="00C91D5C" w:rsidRPr="007453B6" w:rsidRDefault="00C91D5C" w:rsidP="005B6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Describe how the work is novel and/or builds upon previous work or experience of the supervisory team and why this research in this proposal is the best method.</w:t>
            </w:r>
          </w:p>
          <w:p w14:paraId="0C1A9590" w14:textId="77777777" w:rsidR="00B01EC0" w:rsidRPr="007453B6" w:rsidRDefault="00B01EC0" w:rsidP="00B01EC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9C4E084" w14:textId="166F6022" w:rsidR="00C91D5C" w:rsidRPr="007453B6" w:rsidRDefault="00C91D5C" w:rsidP="00FC0B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Describe how your proposal will make things better and advance knowledge; either by mitigating risk or finding a new or different way of doing things. </w:t>
            </w:r>
          </w:p>
          <w:p w14:paraId="4874C64C" w14:textId="77777777" w:rsidR="00B01EC0" w:rsidRPr="007453B6" w:rsidRDefault="00B01EC0" w:rsidP="00B01EC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411AE5D" w14:textId="4447ED82" w:rsidR="00C91D5C" w:rsidRPr="007453B6" w:rsidRDefault="00C91D5C" w:rsidP="00FC0B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A demonstrable understanding of the technical and research background of the challenge area.</w:t>
            </w:r>
          </w:p>
          <w:p w14:paraId="7AFB5F0B" w14:textId="77777777" w:rsidR="00B01EC0" w:rsidRPr="007453B6" w:rsidRDefault="00B01EC0" w:rsidP="00B01EC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7192EF7" w14:textId="25F34AF4" w:rsidR="00C91D5C" w:rsidRPr="007453B6" w:rsidRDefault="00C91D5C" w:rsidP="006643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The suitability of the methodology to achieve the project’s aims.</w:t>
            </w:r>
          </w:p>
          <w:p w14:paraId="0EE4ED9A" w14:textId="77777777" w:rsidR="00B01EC0" w:rsidRPr="007453B6" w:rsidRDefault="00B01EC0" w:rsidP="00B01EC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13BC8EB" w14:textId="2E23D6D9" w:rsidR="00B01EC0" w:rsidRPr="007453B6" w:rsidRDefault="00C91D5C" w:rsidP="00B01E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The ambition, novel approaches and transformative aspects or potential </w:t>
            </w:r>
            <w:r w:rsidRPr="007453B6">
              <w:rPr>
                <w:rFonts w:ascii="Arial" w:eastAsia="Times New Roman" w:hAnsi="Arial" w:cs="Arial"/>
                <w:lang w:eastAsia="en-GB"/>
              </w:rPr>
              <w:lastRenderedPageBreak/>
              <w:t xml:space="preserve">outcomes that the proposed research might </w:t>
            </w:r>
            <w:r w:rsidR="00B01EC0" w:rsidRPr="007453B6">
              <w:rPr>
                <w:rFonts w:ascii="Arial" w:eastAsia="Times New Roman" w:hAnsi="Arial" w:cs="Arial"/>
                <w:lang w:eastAsia="en-GB"/>
              </w:rPr>
              <w:t>achieve.</w:t>
            </w:r>
          </w:p>
        </w:tc>
      </w:tr>
      <w:tr w:rsidR="005B64C7" w:rsidRPr="008879A6" w14:paraId="15679FBA" w14:textId="77777777" w:rsidTr="00664344">
        <w:trPr>
          <w:trHeight w:val="835"/>
        </w:trPr>
        <w:tc>
          <w:tcPr>
            <w:tcW w:w="1098" w:type="pct"/>
            <w:shd w:val="clear" w:color="auto" w:fill="auto"/>
            <w:vAlign w:val="center"/>
            <w:hideMark/>
          </w:tcPr>
          <w:p w14:paraId="2572D670" w14:textId="77777777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Fit to Scheme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419943E7" w14:textId="674BDE5D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 </w:t>
            </w:r>
            <w:r w:rsidR="005B64C7" w:rsidRPr="007453B6">
              <w:rPr>
                <w:rFonts w:ascii="Arial" w:eastAsia="Times New Roman" w:hAnsi="Arial" w:cs="Arial"/>
                <w:lang w:eastAsia="en-GB"/>
              </w:rPr>
              <w:t>/4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CEDE1E" w14:textId="2CB01DDE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20%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698B5388" w14:textId="77777777" w:rsidR="003C56CD" w:rsidRPr="007453B6" w:rsidRDefault="00C91D5C" w:rsidP="00EB5F0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Refer to specific NWS challenges that exist now or are likely to become issues in the future.</w:t>
            </w:r>
          </w:p>
          <w:p w14:paraId="02A9601D" w14:textId="3A444EAF" w:rsidR="00664344" w:rsidRPr="007453B6" w:rsidRDefault="00C91D5C" w:rsidP="003C56C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F2AF8DD" w14:textId="75FA8CDA" w:rsidR="00B01EC0" w:rsidRPr="007453B6" w:rsidRDefault="00C91D5C" w:rsidP="00B01E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Alignment to the brief or justification as to how the proposal meets NWS </w:t>
            </w:r>
            <w:r w:rsidR="00B01EC0" w:rsidRPr="007453B6">
              <w:rPr>
                <w:rFonts w:ascii="Arial" w:eastAsia="Times New Roman" w:hAnsi="Arial" w:cs="Arial"/>
                <w:lang w:eastAsia="en-GB"/>
              </w:rPr>
              <w:t>challenges.</w:t>
            </w:r>
          </w:p>
          <w:p w14:paraId="258BEFB9" w14:textId="77777777" w:rsidR="003C56CD" w:rsidRPr="007453B6" w:rsidRDefault="003C56CD" w:rsidP="003C56CD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68FAE8C7" w14:textId="657A543B" w:rsidR="00C91D5C" w:rsidRPr="007453B6" w:rsidRDefault="00C91D5C" w:rsidP="00B01E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Describe how the proposed research relates to those </w:t>
            </w:r>
            <w:r w:rsidR="005D50B6" w:rsidRPr="007453B6">
              <w:rPr>
                <w:rFonts w:ascii="Arial" w:eastAsia="Times New Roman" w:hAnsi="Arial" w:cs="Arial"/>
                <w:lang w:eastAsia="en-GB"/>
              </w:rPr>
              <w:t>challenges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="00530824" w:rsidRPr="007453B6">
              <w:rPr>
                <w:rFonts w:ascii="Arial" w:eastAsia="Times New Roman" w:hAnsi="Arial" w:cs="Arial"/>
                <w:lang w:eastAsia="en-GB"/>
              </w:rPr>
              <w:t xml:space="preserve">how they </w:t>
            </w:r>
            <w:r w:rsidRPr="007453B6">
              <w:rPr>
                <w:rFonts w:ascii="Arial" w:eastAsia="Times New Roman" w:hAnsi="Arial" w:cs="Arial"/>
                <w:lang w:eastAsia="en-GB"/>
              </w:rPr>
              <w:t>will tackle them/</w:t>
            </w:r>
            <w:r w:rsidR="00530824" w:rsidRPr="007453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453B6">
              <w:rPr>
                <w:rFonts w:ascii="Arial" w:eastAsia="Times New Roman" w:hAnsi="Arial" w:cs="Arial"/>
                <w:lang w:eastAsia="en-GB"/>
              </w:rPr>
              <w:t>increase understanding of them/</w:t>
            </w:r>
            <w:r w:rsidR="00530824" w:rsidRPr="007453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453B6">
              <w:rPr>
                <w:rFonts w:ascii="Arial" w:eastAsia="Times New Roman" w:hAnsi="Arial" w:cs="Arial"/>
                <w:lang w:eastAsia="en-GB"/>
              </w:rPr>
              <w:t>contribute to or produce an alternative tool or technique for dealing with them.</w:t>
            </w:r>
          </w:p>
        </w:tc>
      </w:tr>
      <w:tr w:rsidR="005B64C7" w:rsidRPr="008879A6" w14:paraId="4468A9A2" w14:textId="77777777" w:rsidTr="00664344">
        <w:trPr>
          <w:trHeight w:val="825"/>
        </w:trPr>
        <w:tc>
          <w:tcPr>
            <w:tcW w:w="1098" w:type="pct"/>
            <w:shd w:val="clear" w:color="auto" w:fill="auto"/>
            <w:vAlign w:val="center"/>
            <w:hideMark/>
          </w:tcPr>
          <w:p w14:paraId="43676A6D" w14:textId="461E81D2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lang w:eastAsia="en-GB"/>
              </w:rPr>
              <w:t>Project Management</w:t>
            </w:r>
            <w:r w:rsidRPr="007453B6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16AB8DA" w14:textId="0A26D255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 </w:t>
            </w:r>
            <w:r w:rsidR="005B64C7" w:rsidRPr="007453B6">
              <w:rPr>
                <w:rFonts w:ascii="Arial" w:eastAsia="Times New Roman" w:hAnsi="Arial" w:cs="Arial"/>
                <w:lang w:eastAsia="en-GB"/>
              </w:rPr>
              <w:t>/4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427A8F" w14:textId="599DF6C7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1</w:t>
            </w:r>
            <w:r w:rsidR="005B64C7" w:rsidRPr="007453B6">
              <w:rPr>
                <w:rFonts w:ascii="Arial" w:eastAsia="Times New Roman" w:hAnsi="Arial" w:cs="Arial"/>
                <w:lang w:eastAsia="en-GB"/>
              </w:rPr>
              <w:t>5</w:t>
            </w:r>
            <w:r w:rsidRPr="007453B6">
              <w:rPr>
                <w:rFonts w:ascii="Arial" w:eastAsia="Times New Roman" w:hAnsi="Arial" w:cs="Arial"/>
                <w:lang w:eastAsia="en-GB"/>
              </w:rPr>
              <w:t>%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449938D1" w14:textId="38ECE1B4" w:rsidR="00553FF2" w:rsidRPr="007453B6" w:rsidRDefault="00C91D5C" w:rsidP="00553F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Include an approximate breakdown of costs to the nearest £1k showing how the funding will be split between labour, equipment, and consumables etc.</w:t>
            </w:r>
            <w:r w:rsidR="00553FF2" w:rsidRPr="007453B6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4580B0CC" w14:textId="4B2BE5C8" w:rsidR="00553FF2" w:rsidRPr="007453B6" w:rsidRDefault="00C91D5C" w:rsidP="00553FF2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Fees (including overheads, permanent staff costs, estate costs)</w:t>
            </w:r>
          </w:p>
          <w:p w14:paraId="4E9CD8EA" w14:textId="30AA59B3" w:rsidR="00553FF2" w:rsidRPr="007453B6" w:rsidRDefault="00C91D5C" w:rsidP="00553FF2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Research training support (</w:t>
            </w:r>
            <w:r w:rsidR="009F12E7" w:rsidRPr="007453B6">
              <w:rPr>
                <w:rFonts w:ascii="Arial" w:eastAsia="Times New Roman" w:hAnsi="Arial" w:cs="Arial"/>
                <w:lang w:eastAsia="en-GB"/>
              </w:rPr>
              <w:t>e.g.,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travel and subsistence, conference registration fees, training courses)</w:t>
            </w:r>
          </w:p>
          <w:p w14:paraId="4D702E87" w14:textId="54EDCA05" w:rsidR="00553FF2" w:rsidRPr="007453B6" w:rsidRDefault="00C91D5C" w:rsidP="00553FF2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Equipment and consumables (equipment &gt;£1K should be itemised)</w:t>
            </w:r>
          </w:p>
          <w:p w14:paraId="3C290698" w14:textId="7AC7CADE" w:rsidR="009B25C1" w:rsidRPr="007453B6" w:rsidRDefault="009B25C1" w:rsidP="00553FF2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Include an estimate of when (</w:t>
            </w:r>
            <w:r w:rsidR="00530824" w:rsidRPr="007453B6">
              <w:rPr>
                <w:rFonts w:ascii="Arial" w:eastAsia="Times New Roman" w:hAnsi="Arial" w:cs="Arial"/>
                <w:lang w:eastAsia="en-GB"/>
              </w:rPr>
              <w:t>month) expenditure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will be required</w:t>
            </w:r>
            <w:r w:rsidR="00530824" w:rsidRPr="007453B6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8F2530F" w14:textId="77777777" w:rsidR="00553FF2" w:rsidRPr="007453B6" w:rsidRDefault="00553FF2" w:rsidP="00553FF2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14:paraId="4FD3562B" w14:textId="14FE36E2" w:rsidR="00553FF2" w:rsidRPr="007453B6" w:rsidRDefault="00C91D5C" w:rsidP="00553F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Incorporate a project plan/Gannt chart showing the durations of the key phases of the work and identifying key milestones and deliverables.</w:t>
            </w:r>
          </w:p>
          <w:p w14:paraId="5B852A58" w14:textId="77777777" w:rsidR="00553FF2" w:rsidRPr="007453B6" w:rsidRDefault="00553FF2" w:rsidP="00553FF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F5E1B1F" w14:textId="645CCB0F" w:rsidR="00553FF2" w:rsidRPr="007453B6" w:rsidRDefault="00C91D5C" w:rsidP="00553F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Identify any major risks to the research and associated mitigation that can be considered against these risks.</w:t>
            </w:r>
          </w:p>
          <w:p w14:paraId="6F21F0A3" w14:textId="77777777" w:rsidR="00553FF2" w:rsidRPr="007453B6" w:rsidRDefault="00553FF2" w:rsidP="00553FF2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57B39D27" w14:textId="666269B0" w:rsidR="00553FF2" w:rsidRPr="007453B6" w:rsidRDefault="00C91D5C" w:rsidP="00553F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Demonstrate value for money for any equipment (costing more than &gt;£1K) required to deliver the research, including in-kind access to equipment where appropriate.</w:t>
            </w:r>
          </w:p>
          <w:p w14:paraId="10517261" w14:textId="77777777" w:rsidR="00553FF2" w:rsidRPr="007453B6" w:rsidRDefault="00553FF2" w:rsidP="00553FF2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52F938F7" w14:textId="0DDD398A" w:rsidR="00553FF2" w:rsidRPr="007453B6" w:rsidRDefault="00C91D5C" w:rsidP="00553F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Itemise any leverage associated with the research.  This can include use of existing facilities, in-kind support from other areas/projects, use of NNUF or other national infrastructure.</w:t>
            </w:r>
          </w:p>
          <w:p w14:paraId="1A6ED9F6" w14:textId="77777777" w:rsidR="00553FF2" w:rsidRPr="007453B6" w:rsidRDefault="00553FF2" w:rsidP="00553FF2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2DB816BC" w14:textId="5A52EA61" w:rsidR="00C91D5C" w:rsidRPr="007453B6" w:rsidRDefault="00C91D5C" w:rsidP="009B25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Demonstrate that any proposed active work has been discussed in advance with the </w:t>
            </w:r>
            <w:r w:rsidRPr="007453B6">
              <w:rPr>
                <w:rFonts w:ascii="Arial" w:eastAsia="Times New Roman" w:hAnsi="Arial" w:cs="Arial"/>
                <w:lang w:eastAsia="en-GB"/>
              </w:rPr>
              <w:lastRenderedPageBreak/>
              <w:t>relevant facility owners/</w:t>
            </w:r>
            <w:r w:rsidR="009B25C1" w:rsidRPr="007453B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453B6">
              <w:rPr>
                <w:rFonts w:ascii="Arial" w:eastAsia="Times New Roman" w:hAnsi="Arial" w:cs="Arial"/>
                <w:lang w:eastAsia="en-GB"/>
              </w:rPr>
              <w:t>operators and is feasible within the bounds of the proposal</w:t>
            </w:r>
            <w:r w:rsidR="009B25C1" w:rsidRPr="007453B6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</w:tc>
      </w:tr>
      <w:tr w:rsidR="005B64C7" w:rsidRPr="008879A6" w14:paraId="052D3472" w14:textId="77777777" w:rsidTr="00664344">
        <w:trPr>
          <w:trHeight w:val="3672"/>
        </w:trPr>
        <w:tc>
          <w:tcPr>
            <w:tcW w:w="1098" w:type="pct"/>
            <w:shd w:val="clear" w:color="auto" w:fill="auto"/>
            <w:vAlign w:val="center"/>
            <w:hideMark/>
          </w:tcPr>
          <w:p w14:paraId="7E4082D7" w14:textId="77777777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lastRenderedPageBreak/>
              <w:t>Skills and capability generation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BE86DE4" w14:textId="77777777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CC7A00" w14:textId="5C5CC065" w:rsidR="00C91D5C" w:rsidRPr="007453B6" w:rsidRDefault="005B64C7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1</w:t>
            </w:r>
            <w:r w:rsidR="00C91D5C" w:rsidRPr="007453B6">
              <w:rPr>
                <w:rFonts w:ascii="Arial" w:eastAsia="Times New Roman" w:hAnsi="Arial" w:cs="Arial"/>
                <w:lang w:eastAsia="en-GB"/>
              </w:rPr>
              <w:t>0%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20BE377F" w14:textId="3B2E651A" w:rsidR="00553FF2" w:rsidRPr="007453B6" w:rsidRDefault="00C91D5C" w:rsidP="00553F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Identify the specific skill set that will be developed by the proposed work and demonstrate how &amp; where that fits into the long-term NWS mission.</w:t>
            </w:r>
          </w:p>
          <w:p w14:paraId="00D5C310" w14:textId="77777777" w:rsidR="00553FF2" w:rsidRPr="007453B6" w:rsidRDefault="00553FF2" w:rsidP="00553FF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D08F4F4" w14:textId="363DFFE8" w:rsidR="00553FF2" w:rsidRPr="007453B6" w:rsidRDefault="00C91D5C" w:rsidP="005B64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Identify “peripheral” skills/knowledge </w:t>
            </w:r>
            <w:r w:rsidR="009F12E7" w:rsidRPr="007453B6">
              <w:rPr>
                <w:rFonts w:ascii="Arial" w:eastAsia="Times New Roman" w:hAnsi="Arial" w:cs="Arial"/>
                <w:lang w:eastAsia="en-GB"/>
              </w:rPr>
              <w:t>e.g.,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communication skills, networking, exposure to the nuclear sector that will be developed during the PhD research project and explain why these are now/will in the future be relevant to NWS mission.</w:t>
            </w:r>
          </w:p>
          <w:p w14:paraId="64D796E7" w14:textId="77777777" w:rsidR="00553FF2" w:rsidRPr="007453B6" w:rsidRDefault="00553FF2" w:rsidP="00553FF2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538BB354" w14:textId="7DB7F797" w:rsidR="00C91D5C" w:rsidRPr="007453B6" w:rsidRDefault="00C91D5C" w:rsidP="005B64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Show how skills will be developed/retained within the wider supervisory team, </w:t>
            </w:r>
            <w:r w:rsidR="009F12E7" w:rsidRPr="007453B6">
              <w:rPr>
                <w:rFonts w:ascii="Arial" w:eastAsia="Times New Roman" w:hAnsi="Arial" w:cs="Arial"/>
                <w:lang w:eastAsia="en-GB"/>
              </w:rPr>
              <w:t>e.g.,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networking, exposure to the nuclear sector. This will include the student, the Principal Investigator (PI), industrial supervisor and any other industry experts who will be engaged throughout the project.</w:t>
            </w:r>
          </w:p>
        </w:tc>
      </w:tr>
      <w:tr w:rsidR="005B64C7" w:rsidRPr="008879A6" w14:paraId="478A03FF" w14:textId="77777777" w:rsidTr="00664344">
        <w:trPr>
          <w:trHeight w:val="3809"/>
        </w:trPr>
        <w:tc>
          <w:tcPr>
            <w:tcW w:w="1098" w:type="pct"/>
            <w:shd w:val="clear" w:color="auto" w:fill="auto"/>
            <w:vAlign w:val="center"/>
            <w:hideMark/>
          </w:tcPr>
          <w:p w14:paraId="3241B941" w14:textId="77777777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Knowledge Exchange and Impact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E6CC32A" w14:textId="491E1A3B" w:rsidR="00C91D5C" w:rsidRPr="007453B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 </w:t>
            </w:r>
            <w:r w:rsidR="005B64C7" w:rsidRPr="007453B6">
              <w:rPr>
                <w:rFonts w:ascii="Arial" w:eastAsia="Times New Roman" w:hAnsi="Arial" w:cs="Arial"/>
                <w:lang w:eastAsia="en-GB"/>
              </w:rPr>
              <w:t>/4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87DFD9" w14:textId="68A4367A" w:rsidR="00C91D5C" w:rsidRPr="007453B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1</w:t>
            </w:r>
            <w:r w:rsidR="005B64C7" w:rsidRPr="007453B6">
              <w:rPr>
                <w:rFonts w:ascii="Arial" w:eastAsia="Times New Roman" w:hAnsi="Arial" w:cs="Arial"/>
                <w:lang w:eastAsia="en-GB"/>
              </w:rPr>
              <w:t>0</w:t>
            </w:r>
            <w:r w:rsidRPr="007453B6">
              <w:rPr>
                <w:rFonts w:ascii="Arial" w:eastAsia="Times New Roman" w:hAnsi="Arial" w:cs="Arial"/>
                <w:lang w:eastAsia="en-GB"/>
              </w:rPr>
              <w:t>%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2EA54ACE" w14:textId="14035725" w:rsidR="00553FF2" w:rsidRPr="007453B6" w:rsidRDefault="00C91D5C" w:rsidP="009F12E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Describe what will be done by the researcher and academic PI to ensure that the learning from the project is incorporated into the overall body </w:t>
            </w:r>
            <w:r w:rsidR="009F12E7" w:rsidRPr="007453B6">
              <w:rPr>
                <w:rFonts w:ascii="Arial" w:eastAsia="Times New Roman" w:hAnsi="Arial" w:cs="Arial"/>
                <w:lang w:eastAsia="en-GB"/>
              </w:rPr>
              <w:t>of knowledge</w:t>
            </w:r>
            <w:r w:rsidRPr="007453B6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3AF51FA" w14:textId="77777777" w:rsidR="009F12E7" w:rsidRPr="007453B6" w:rsidRDefault="009F12E7" w:rsidP="009F12E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880798" w14:textId="58A30699" w:rsidR="00553FF2" w:rsidRPr="007453B6" w:rsidRDefault="00C91D5C" w:rsidP="005B64C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Is visible to, and accessible by, interested parties within NWS, for example, are unlikely to have access to academic journals.</w:t>
            </w:r>
          </w:p>
          <w:p w14:paraId="1BBBB420" w14:textId="77777777" w:rsidR="009F12E7" w:rsidRPr="007453B6" w:rsidRDefault="009F12E7" w:rsidP="009F12E7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122F06F9" w14:textId="62070278" w:rsidR="00553FF2" w:rsidRPr="007453B6" w:rsidRDefault="00C91D5C" w:rsidP="005B64C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Is visible to, and accessible by, the </w:t>
            </w:r>
            <w:r w:rsidR="009F12E7" w:rsidRPr="007453B6">
              <w:rPr>
                <w:rFonts w:ascii="Arial" w:eastAsia="Times New Roman" w:hAnsi="Arial" w:cs="Arial"/>
                <w:lang w:eastAsia="en-GB"/>
              </w:rPr>
              <w:t>wider community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(</w:t>
            </w:r>
            <w:r w:rsidR="009F12E7" w:rsidRPr="007453B6">
              <w:rPr>
                <w:rFonts w:ascii="Arial" w:eastAsia="Times New Roman" w:hAnsi="Arial" w:cs="Arial"/>
                <w:lang w:eastAsia="en-GB"/>
              </w:rPr>
              <w:t>e.g.,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 other academics, industry supply chain).</w:t>
            </w:r>
          </w:p>
          <w:p w14:paraId="50E5846D" w14:textId="77777777" w:rsidR="009F12E7" w:rsidRPr="007453B6" w:rsidRDefault="009F12E7" w:rsidP="009F12E7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62DF3BB5" w14:textId="2B18FC5D" w:rsidR="00553FF2" w:rsidRPr="007453B6" w:rsidRDefault="00C91D5C" w:rsidP="005B64C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Describe how the work will be made accessible to and/or could be applied by those working within the NWS or the supply chain. </w:t>
            </w:r>
          </w:p>
          <w:p w14:paraId="698603B1" w14:textId="77777777" w:rsidR="009F12E7" w:rsidRPr="007453B6" w:rsidRDefault="009F12E7" w:rsidP="009F12E7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48AD00B9" w14:textId="58E05BAD" w:rsidR="00C91D5C" w:rsidRPr="007453B6" w:rsidRDefault="00C91D5C" w:rsidP="005B64C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Identify other industries who might benefit from this knowledge </w:t>
            </w:r>
          </w:p>
        </w:tc>
      </w:tr>
      <w:tr w:rsidR="005B64C7" w:rsidRPr="008879A6" w14:paraId="5CF229A8" w14:textId="77777777" w:rsidTr="006A22FD">
        <w:trPr>
          <w:trHeight w:val="2832"/>
        </w:trPr>
        <w:tc>
          <w:tcPr>
            <w:tcW w:w="1098" w:type="pct"/>
            <w:shd w:val="clear" w:color="auto" w:fill="auto"/>
            <w:vAlign w:val="center"/>
          </w:tcPr>
          <w:p w14:paraId="0FA352C8" w14:textId="264F4C8B" w:rsidR="005B64C7" w:rsidRPr="007453B6" w:rsidRDefault="005B64C7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lastRenderedPageBreak/>
              <w:t>Cost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07AB75E9" w14:textId="3B080ADB" w:rsidR="005B64C7" w:rsidRPr="007453B6" w:rsidRDefault="005B64C7" w:rsidP="005B64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/4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72869" w14:textId="4123F48F" w:rsidR="005B64C7" w:rsidRPr="007453B6" w:rsidRDefault="005B64C7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10%</w:t>
            </w:r>
          </w:p>
        </w:tc>
        <w:tc>
          <w:tcPr>
            <w:tcW w:w="2724" w:type="pct"/>
            <w:shd w:val="clear" w:color="auto" w:fill="auto"/>
          </w:tcPr>
          <w:p w14:paraId="5FA34D09" w14:textId="3EEC7D05" w:rsidR="006A22FD" w:rsidRPr="007453B6" w:rsidRDefault="006A22FD" w:rsidP="006A2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 xml:space="preserve">As a guide the total indicative budget value is estimated at £350,000 </w:t>
            </w:r>
          </w:p>
          <w:p w14:paraId="690C5B74" w14:textId="77777777" w:rsidR="005B64C7" w:rsidRDefault="006A22FD" w:rsidP="006A2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453B6">
              <w:rPr>
                <w:rFonts w:ascii="Arial" w:eastAsia="Times New Roman" w:hAnsi="Arial" w:cs="Arial"/>
                <w:lang w:eastAsia="en-GB"/>
              </w:rPr>
              <w:t>Provide a cost for the full duration of the project, including all costs i.e.,</w:t>
            </w:r>
            <w:r w:rsidRPr="007453B6">
              <w:t xml:space="preserve"> </w:t>
            </w:r>
            <w:r w:rsidRPr="007453B6">
              <w:rPr>
                <w:rFonts w:ascii="Arial" w:eastAsia="Times New Roman" w:hAnsi="Arial" w:cs="Arial"/>
                <w:lang w:eastAsia="en-GB"/>
              </w:rPr>
              <w:t xml:space="preserve">labour, equipment, and consumables. </w:t>
            </w:r>
          </w:p>
          <w:p w14:paraId="0327D2FF" w14:textId="77777777" w:rsidR="007453B6" w:rsidRDefault="007453B6" w:rsidP="006A2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Identify any cost saving that could be made to reduce cost.</w:t>
            </w:r>
          </w:p>
          <w:p w14:paraId="743629E5" w14:textId="11C72129" w:rsidR="007453B6" w:rsidRPr="007453B6" w:rsidRDefault="007453B6" w:rsidP="006A22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Price analysis will be carried out to ensure like for like costs capture the full project scope, deliverables, and milestones</w:t>
            </w:r>
          </w:p>
        </w:tc>
      </w:tr>
      <w:tr w:rsidR="005B64C7" w:rsidRPr="008879A6" w14:paraId="492D8D5B" w14:textId="77777777" w:rsidTr="00664344">
        <w:trPr>
          <w:trHeight w:val="300"/>
        </w:trPr>
        <w:tc>
          <w:tcPr>
            <w:tcW w:w="1098" w:type="pct"/>
            <w:shd w:val="clear" w:color="auto" w:fill="auto"/>
            <w:vAlign w:val="center"/>
            <w:hideMark/>
          </w:tcPr>
          <w:p w14:paraId="14C82C6D" w14:textId="42D08902" w:rsidR="00C91D5C" w:rsidRPr="008879A6" w:rsidRDefault="00347FD2" w:rsidP="005B6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7453B6">
              <w:rPr>
                <w:rFonts w:ascii="Arial" w:eastAsia="Times New Roman" w:hAnsi="Arial" w:cs="Arial"/>
                <w:b/>
                <w:bCs/>
                <w:lang w:eastAsia="en-GB"/>
              </w:rPr>
              <w:t>Total Score</w:t>
            </w:r>
          </w:p>
        </w:tc>
        <w:tc>
          <w:tcPr>
            <w:tcW w:w="460" w:type="pct"/>
            <w:shd w:val="clear" w:color="000000" w:fill="D9D9D9"/>
            <w:noWrap/>
            <w:vAlign w:val="center"/>
            <w:hideMark/>
          </w:tcPr>
          <w:p w14:paraId="5E5CFC75" w14:textId="77777777" w:rsidR="00C91D5C" w:rsidRPr="008879A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879A6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4DEA73" w14:textId="77777777" w:rsidR="00C91D5C" w:rsidRPr="008879A6" w:rsidRDefault="00C91D5C" w:rsidP="005B6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8879A6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715625A7" w14:textId="77777777" w:rsidR="00C91D5C" w:rsidRPr="008879A6" w:rsidRDefault="00C91D5C" w:rsidP="005B64C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8879A6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</w:tr>
    </w:tbl>
    <w:p w14:paraId="24103F45" w14:textId="77777777" w:rsidR="00512713" w:rsidRDefault="00512713" w:rsidP="00412EDE">
      <w:pPr>
        <w:rPr>
          <w:rFonts w:ascii="Arial" w:hAnsi="Arial" w:cs="Arial"/>
          <w:b/>
          <w:bCs/>
          <w:i/>
          <w:iCs/>
          <w:u w:val="single"/>
        </w:rPr>
      </w:pPr>
    </w:p>
    <w:p w14:paraId="3D7F838F" w14:textId="70D7DB98" w:rsidR="00412EDE" w:rsidRPr="00B6286F" w:rsidRDefault="00412EDE" w:rsidP="00412EDE">
      <w:pPr>
        <w:rPr>
          <w:rFonts w:ascii="Arial" w:hAnsi="Arial" w:cs="Arial"/>
          <w:b/>
          <w:bCs/>
          <w:i/>
          <w:iCs/>
          <w:u w:val="single"/>
        </w:rPr>
      </w:pPr>
      <w:r w:rsidRPr="00B6286F">
        <w:rPr>
          <w:rFonts w:ascii="Arial" w:hAnsi="Arial" w:cs="Arial"/>
          <w:b/>
          <w:bCs/>
          <w:i/>
          <w:iCs/>
          <w:u w:val="single"/>
        </w:rPr>
        <w:t xml:space="preserve">Scoring criteria: </w:t>
      </w:r>
    </w:p>
    <w:p w14:paraId="5FE6CC34" w14:textId="77777777" w:rsidR="00412EDE" w:rsidRPr="00B6286F" w:rsidRDefault="00412EDE" w:rsidP="00412EDE">
      <w:pPr>
        <w:rPr>
          <w:rFonts w:ascii="Arial" w:hAnsi="Arial" w:cs="Arial"/>
        </w:rPr>
      </w:pPr>
      <w:r w:rsidRPr="00B6286F">
        <w:rPr>
          <w:rFonts w:ascii="Arial" w:hAnsi="Arial" w:cs="Arial"/>
        </w:rPr>
        <w:t xml:space="preserve">0= No response or response does not meet any requirements </w:t>
      </w:r>
    </w:p>
    <w:p w14:paraId="3434DD21" w14:textId="77777777" w:rsidR="00412EDE" w:rsidRPr="00B6286F" w:rsidRDefault="00412EDE" w:rsidP="00412EDE">
      <w:pPr>
        <w:rPr>
          <w:rFonts w:ascii="Arial" w:hAnsi="Arial" w:cs="Arial"/>
        </w:rPr>
      </w:pPr>
      <w:r w:rsidRPr="00B6286F">
        <w:rPr>
          <w:rFonts w:ascii="Arial" w:hAnsi="Arial" w:cs="Arial"/>
        </w:rPr>
        <w:t xml:space="preserve">1= Marginal response with significant drawbacks or omissions </w:t>
      </w:r>
    </w:p>
    <w:p w14:paraId="6B140697" w14:textId="77777777" w:rsidR="00412EDE" w:rsidRPr="00B6286F" w:rsidRDefault="00412EDE" w:rsidP="00412EDE">
      <w:pPr>
        <w:rPr>
          <w:rFonts w:ascii="Arial" w:hAnsi="Arial" w:cs="Arial"/>
        </w:rPr>
      </w:pPr>
      <w:r w:rsidRPr="00B6286F">
        <w:rPr>
          <w:rFonts w:ascii="Arial" w:hAnsi="Arial" w:cs="Arial"/>
        </w:rPr>
        <w:t>2= Acceptable response, meeting most criteria with only minor drawbacks or omissions</w:t>
      </w:r>
    </w:p>
    <w:p w14:paraId="7A4DB342" w14:textId="77777777" w:rsidR="00412EDE" w:rsidRPr="00B6286F" w:rsidRDefault="00412EDE" w:rsidP="00412EDE">
      <w:pPr>
        <w:rPr>
          <w:rFonts w:ascii="Arial" w:hAnsi="Arial" w:cs="Arial"/>
        </w:rPr>
      </w:pPr>
      <w:r w:rsidRPr="00B6286F">
        <w:rPr>
          <w:rFonts w:ascii="Arial" w:hAnsi="Arial" w:cs="Arial"/>
        </w:rPr>
        <w:t xml:space="preserve">3= Good response which meets all requirements </w:t>
      </w:r>
    </w:p>
    <w:p w14:paraId="449A60A6" w14:textId="4B771EB3" w:rsidR="00844D16" w:rsidRDefault="00412EDE" w:rsidP="00412EDE">
      <w:pPr>
        <w:rPr>
          <w:rFonts w:ascii="Arial" w:hAnsi="Arial" w:cs="Arial"/>
        </w:rPr>
      </w:pPr>
      <w:r w:rsidRPr="00B6286F">
        <w:rPr>
          <w:rFonts w:ascii="Arial" w:hAnsi="Arial" w:cs="Arial"/>
        </w:rPr>
        <w:t xml:space="preserve">4= Excellent response which meets and exceeds requirements </w:t>
      </w:r>
    </w:p>
    <w:p w14:paraId="2B9D8193" w14:textId="77777777" w:rsidR="007453B6" w:rsidRDefault="007453B6" w:rsidP="00456A74">
      <w:pPr>
        <w:rPr>
          <w:rFonts w:ascii="Arial" w:hAnsi="Arial" w:cs="Arial"/>
          <w:b/>
          <w:bCs/>
          <w:i/>
          <w:iCs/>
          <w:u w:val="single"/>
        </w:rPr>
      </w:pPr>
    </w:p>
    <w:p w14:paraId="77FF3A96" w14:textId="1FE83DF4" w:rsidR="00456A74" w:rsidRPr="00B6286F" w:rsidRDefault="00456A74" w:rsidP="00456A74">
      <w:pPr>
        <w:rPr>
          <w:rFonts w:ascii="Arial" w:hAnsi="Arial" w:cs="Arial"/>
          <w:b/>
          <w:bCs/>
          <w:i/>
          <w:iCs/>
          <w:u w:val="single"/>
        </w:rPr>
      </w:pPr>
      <w:r w:rsidRPr="00B6286F">
        <w:rPr>
          <w:rFonts w:ascii="Arial" w:hAnsi="Arial" w:cs="Arial"/>
          <w:b/>
          <w:bCs/>
          <w:i/>
          <w:iCs/>
          <w:u w:val="single"/>
        </w:rPr>
        <w:t>Scor</w:t>
      </w:r>
      <w:r w:rsidR="00421986">
        <w:rPr>
          <w:rFonts w:ascii="Arial" w:hAnsi="Arial" w:cs="Arial"/>
          <w:b/>
          <w:bCs/>
          <w:i/>
          <w:iCs/>
          <w:u w:val="single"/>
        </w:rPr>
        <w:t>e Weighting</w:t>
      </w:r>
      <w:r w:rsidRPr="00B6286F">
        <w:rPr>
          <w:rFonts w:ascii="Arial" w:hAnsi="Arial" w:cs="Arial"/>
          <w:b/>
          <w:bCs/>
          <w:i/>
          <w:iCs/>
          <w:u w:val="single"/>
        </w:rPr>
        <w:t xml:space="preserve">: </w:t>
      </w:r>
    </w:p>
    <w:p w14:paraId="6F52BF71" w14:textId="215E82E4" w:rsidR="00E226E1" w:rsidRPr="00E226E1" w:rsidRDefault="00E226E1" w:rsidP="00E226E1">
      <w:pPr>
        <w:rPr>
          <w:rFonts w:ascii="Arial" w:hAnsi="Arial" w:cs="Arial"/>
        </w:rPr>
      </w:pPr>
      <w:r w:rsidRPr="00E226E1">
        <w:rPr>
          <w:rFonts w:ascii="Arial" w:hAnsi="Arial" w:cs="Arial"/>
        </w:rPr>
        <w:t>Research excellence = 35%</w:t>
      </w:r>
    </w:p>
    <w:p w14:paraId="548742BE" w14:textId="5FDA69AD" w:rsidR="00E226E1" w:rsidRPr="00E226E1" w:rsidRDefault="00E226E1" w:rsidP="00E226E1">
      <w:pPr>
        <w:rPr>
          <w:rFonts w:ascii="Arial" w:hAnsi="Arial" w:cs="Arial"/>
        </w:rPr>
      </w:pPr>
      <w:r w:rsidRPr="00E226E1">
        <w:rPr>
          <w:rFonts w:ascii="Arial" w:hAnsi="Arial" w:cs="Arial"/>
        </w:rPr>
        <w:t>Fit to scheme = 20%</w:t>
      </w:r>
    </w:p>
    <w:p w14:paraId="6418540E" w14:textId="4FFDE06D" w:rsidR="00E226E1" w:rsidRPr="00E226E1" w:rsidRDefault="00E226E1" w:rsidP="00E226E1">
      <w:pPr>
        <w:rPr>
          <w:rFonts w:ascii="Arial" w:hAnsi="Arial" w:cs="Arial"/>
        </w:rPr>
      </w:pPr>
      <w:r w:rsidRPr="00E226E1">
        <w:rPr>
          <w:rFonts w:ascii="Arial" w:hAnsi="Arial" w:cs="Arial"/>
        </w:rPr>
        <w:t>PM = 15%</w:t>
      </w:r>
    </w:p>
    <w:p w14:paraId="145D7F8B" w14:textId="0A0625CB" w:rsidR="00E226E1" w:rsidRPr="00E226E1" w:rsidRDefault="00E226E1" w:rsidP="00E226E1">
      <w:pPr>
        <w:rPr>
          <w:rFonts w:ascii="Arial" w:hAnsi="Arial" w:cs="Arial"/>
        </w:rPr>
      </w:pPr>
      <w:r w:rsidRPr="00E226E1">
        <w:rPr>
          <w:rFonts w:ascii="Arial" w:hAnsi="Arial" w:cs="Arial"/>
        </w:rPr>
        <w:t xml:space="preserve">Skills </w:t>
      </w:r>
      <w:r w:rsidR="005B64C7">
        <w:rPr>
          <w:rFonts w:ascii="Arial" w:hAnsi="Arial" w:cs="Arial"/>
        </w:rPr>
        <w:t xml:space="preserve">and capability </w:t>
      </w:r>
      <w:r w:rsidRPr="00E226E1">
        <w:rPr>
          <w:rFonts w:ascii="Arial" w:hAnsi="Arial" w:cs="Arial"/>
        </w:rPr>
        <w:t>generation = 10%</w:t>
      </w:r>
    </w:p>
    <w:p w14:paraId="61F2C4E5" w14:textId="77D491D1" w:rsidR="00E226E1" w:rsidRPr="00E226E1" w:rsidRDefault="00E226E1" w:rsidP="00E226E1">
      <w:pPr>
        <w:rPr>
          <w:rFonts w:ascii="Arial" w:hAnsi="Arial" w:cs="Arial"/>
        </w:rPr>
      </w:pPr>
      <w:r w:rsidRPr="00E226E1">
        <w:rPr>
          <w:rFonts w:ascii="Arial" w:hAnsi="Arial" w:cs="Arial"/>
        </w:rPr>
        <w:t>Knowledge capture = 10%</w:t>
      </w:r>
    </w:p>
    <w:p w14:paraId="009CB660" w14:textId="508BC539" w:rsidR="00E226E1" w:rsidRPr="00B6286F" w:rsidRDefault="00E226E1" w:rsidP="00E226E1">
      <w:pPr>
        <w:rPr>
          <w:rFonts w:ascii="Arial" w:hAnsi="Arial" w:cs="Arial"/>
        </w:rPr>
      </w:pPr>
      <w:r w:rsidRPr="00E226E1">
        <w:rPr>
          <w:rFonts w:ascii="Arial" w:hAnsi="Arial" w:cs="Arial"/>
        </w:rPr>
        <w:t>Cost = 10%</w:t>
      </w:r>
    </w:p>
    <w:p w14:paraId="0AB56F60" w14:textId="1C634C01" w:rsidR="00CB35B5" w:rsidRDefault="00CB35B5" w:rsidP="00CB35B5">
      <w:pPr>
        <w:rPr>
          <w:rFonts w:ascii="Times New Roman" w:hAnsi="Times New Roman" w:cs="Times New Roman"/>
        </w:rPr>
      </w:pPr>
    </w:p>
    <w:p w14:paraId="29A1EC55" w14:textId="6052E834" w:rsidR="005C6CBB" w:rsidRPr="00C91D5C" w:rsidRDefault="005C6CBB" w:rsidP="00CB35B5">
      <w:pPr>
        <w:rPr>
          <w:rFonts w:ascii="Arial" w:hAnsi="Arial" w:cs="Arial"/>
          <w:b/>
          <w:bCs/>
        </w:rPr>
      </w:pPr>
      <w:r w:rsidRPr="00C91D5C">
        <w:rPr>
          <w:rFonts w:ascii="Arial" w:hAnsi="Arial" w:cs="Arial"/>
          <w:b/>
          <w:bCs/>
        </w:rPr>
        <w:t>Security and Publication Restrictions</w:t>
      </w:r>
    </w:p>
    <w:p w14:paraId="72AC83D5" w14:textId="1A3F4EA2" w:rsidR="005C6CBB" w:rsidRPr="007453B6" w:rsidRDefault="007453B6" w:rsidP="00CB35B5">
      <w:pPr>
        <w:rPr>
          <w:rFonts w:ascii="Arial" w:hAnsi="Arial" w:cs="Arial"/>
        </w:rPr>
      </w:pPr>
      <w:r w:rsidRPr="007453B6">
        <w:rPr>
          <w:rFonts w:ascii="Arial" w:hAnsi="Arial" w:cs="Arial"/>
        </w:rPr>
        <w:t xml:space="preserve">To be agreed with the Funder prior to contract award and commencement of project. </w:t>
      </w:r>
    </w:p>
    <w:p w14:paraId="12F73CF8" w14:textId="77777777" w:rsidR="007453B6" w:rsidRDefault="007453B6" w:rsidP="00CB35B5">
      <w:pPr>
        <w:rPr>
          <w:rFonts w:ascii="Times New Roman" w:hAnsi="Times New Roman" w:cs="Times New Roman"/>
        </w:rPr>
      </w:pPr>
    </w:p>
    <w:p w14:paraId="5C70F085" w14:textId="72763432" w:rsidR="005C6CBB" w:rsidRPr="00C91D5C" w:rsidRDefault="005C6CBB" w:rsidP="00CB35B5">
      <w:pPr>
        <w:rPr>
          <w:rFonts w:ascii="Arial" w:hAnsi="Arial" w:cs="Arial"/>
          <w:b/>
          <w:bCs/>
        </w:rPr>
      </w:pPr>
      <w:r w:rsidRPr="00C91D5C">
        <w:rPr>
          <w:rFonts w:ascii="Arial" w:hAnsi="Arial" w:cs="Arial"/>
          <w:b/>
          <w:bCs/>
        </w:rPr>
        <w:t>T&amp;Cs</w:t>
      </w:r>
    </w:p>
    <w:p w14:paraId="3505C64B" w14:textId="14947F67" w:rsidR="005C6CBB" w:rsidRPr="00C91D5C" w:rsidRDefault="00527D4B" w:rsidP="001356CE">
      <w:pPr>
        <w:rPr>
          <w:rFonts w:ascii="Arial" w:hAnsi="Arial" w:cs="Arial"/>
        </w:rPr>
      </w:pPr>
      <w:r w:rsidRPr="00C91D5C">
        <w:rPr>
          <w:rFonts w:ascii="Arial" w:hAnsi="Arial" w:cs="Arial"/>
        </w:rPr>
        <w:t>T</w:t>
      </w:r>
      <w:r w:rsidR="00647CBC" w:rsidRPr="00C91D5C">
        <w:rPr>
          <w:rFonts w:ascii="Arial" w:hAnsi="Arial" w:cs="Arial"/>
        </w:rPr>
        <w:t xml:space="preserve">erms and </w:t>
      </w:r>
      <w:r w:rsidR="007453B6">
        <w:rPr>
          <w:rFonts w:ascii="Arial" w:hAnsi="Arial" w:cs="Arial"/>
        </w:rPr>
        <w:t>C</w:t>
      </w:r>
      <w:r w:rsidR="00647CBC" w:rsidRPr="00C91D5C">
        <w:rPr>
          <w:rFonts w:ascii="Arial" w:hAnsi="Arial" w:cs="Arial"/>
        </w:rPr>
        <w:t>onditions link is included within the webpage submission</w:t>
      </w:r>
      <w:r w:rsidR="00D90104" w:rsidRPr="00C91D5C">
        <w:rPr>
          <w:rFonts w:ascii="Arial" w:hAnsi="Arial" w:cs="Arial"/>
        </w:rPr>
        <w:t xml:space="preserve"> to support the </w:t>
      </w:r>
      <w:r w:rsidR="001356CE" w:rsidRPr="00C91D5C">
        <w:rPr>
          <w:rFonts w:ascii="Arial" w:hAnsi="Arial" w:cs="Arial"/>
        </w:rPr>
        <w:t xml:space="preserve">application. </w:t>
      </w:r>
      <w:r w:rsidR="00647CBC" w:rsidRPr="00C91D5C">
        <w:rPr>
          <w:rFonts w:ascii="Arial" w:hAnsi="Arial" w:cs="Arial"/>
        </w:rPr>
        <w:t xml:space="preserve"> </w:t>
      </w:r>
    </w:p>
    <w:sectPr w:rsidR="005C6CBB" w:rsidRPr="00C91D5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BA81" w14:textId="77777777" w:rsidR="004D016B" w:rsidRDefault="004D016B" w:rsidP="00EF4DA9">
      <w:pPr>
        <w:spacing w:after="0" w:line="240" w:lineRule="auto"/>
      </w:pPr>
      <w:r>
        <w:separator/>
      </w:r>
    </w:p>
  </w:endnote>
  <w:endnote w:type="continuationSeparator" w:id="0">
    <w:p w14:paraId="083B1C15" w14:textId="77777777" w:rsidR="004D016B" w:rsidRDefault="004D016B" w:rsidP="00E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2A14" w14:textId="0B2DCECA" w:rsidR="008616FD" w:rsidRDefault="008616FD" w:rsidP="008616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D834" w14:textId="77777777" w:rsidR="004D016B" w:rsidRDefault="004D016B" w:rsidP="00EF4DA9">
      <w:pPr>
        <w:spacing w:after="0" w:line="240" w:lineRule="auto"/>
      </w:pPr>
      <w:r>
        <w:separator/>
      </w:r>
    </w:p>
  </w:footnote>
  <w:footnote w:type="continuationSeparator" w:id="0">
    <w:p w14:paraId="0F8DFC60" w14:textId="77777777" w:rsidR="004D016B" w:rsidRDefault="004D016B" w:rsidP="00EF4DA9">
      <w:pPr>
        <w:spacing w:after="0" w:line="240" w:lineRule="auto"/>
      </w:pPr>
      <w:r>
        <w:continuationSeparator/>
      </w:r>
    </w:p>
  </w:footnote>
  <w:footnote w:id="1">
    <w:p w14:paraId="0893EBAD" w14:textId="5CDAFC9A" w:rsidR="006477D4" w:rsidRDefault="006477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assets.publishing.service.gov.uk/media/5c9e3e0140f0b625e1cbd851/Progress_on_Plutonium.pdf</w:t>
        </w:r>
      </w:hyperlink>
    </w:p>
  </w:footnote>
  <w:footnote w:id="2">
    <w:p w14:paraId="5DF911FF" w14:textId="45E16880" w:rsidR="004F7CDA" w:rsidRDefault="004F7C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NDA Strategy 2021 (publishing.service.gov.uk)</w:t>
        </w:r>
      </w:hyperlink>
    </w:p>
  </w:footnote>
  <w:footnote w:id="3">
    <w:p w14:paraId="5387808D" w14:textId="0E365EA9" w:rsidR="0064132E" w:rsidRPr="0064132E" w:rsidRDefault="0064132E">
      <w:pPr>
        <w:pStyle w:val="FootnoteText"/>
        <w:rPr>
          <w:rFonts w:cstheme="minorHAnsi"/>
        </w:rPr>
      </w:pPr>
      <w:r w:rsidRPr="0064132E">
        <w:rPr>
          <w:rStyle w:val="FootnoteReference"/>
          <w:rFonts w:cstheme="minorHAnsi"/>
        </w:rPr>
        <w:footnoteRef/>
      </w:r>
      <w:r w:rsidRPr="0064132E">
        <w:rPr>
          <w:rFonts w:cstheme="minorHAnsi"/>
        </w:rPr>
        <w:t xml:space="preserve"> </w:t>
      </w:r>
      <w:r w:rsidRPr="0064132E">
        <w:rPr>
          <w:rFonts w:cstheme="minorHAnsi"/>
          <w:color w:val="222222"/>
          <w:shd w:val="clear" w:color="auto" w:fill="FFFFFF"/>
        </w:rPr>
        <w:t>Hyatt, N.C.</w:t>
      </w:r>
      <w:r>
        <w:rPr>
          <w:rFonts w:cstheme="minorHAnsi"/>
          <w:color w:val="222222"/>
          <w:shd w:val="clear" w:color="auto" w:fill="FFFFFF"/>
        </w:rPr>
        <w:t>,</w:t>
      </w:r>
      <w:r w:rsidRPr="0064132E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“</w:t>
      </w:r>
      <w:r w:rsidRPr="0064132E">
        <w:rPr>
          <w:rFonts w:cstheme="minorHAnsi"/>
          <w:i/>
          <w:iCs/>
          <w:color w:val="222222"/>
          <w:shd w:val="clear" w:color="auto" w:fill="FFFFFF"/>
        </w:rPr>
        <w:t>Safe management of the UK separated plutonium inventory: a challenge of materials degradation</w:t>
      </w:r>
      <w:r>
        <w:rPr>
          <w:rFonts w:cstheme="minorHAnsi"/>
          <w:color w:val="222222"/>
          <w:shd w:val="clear" w:color="auto" w:fill="FFFFFF"/>
        </w:rPr>
        <w:t xml:space="preserve">”, </w:t>
      </w:r>
      <w:r w:rsidRPr="0064132E">
        <w:rPr>
          <w:rFonts w:cstheme="minorHAnsi"/>
          <w:i/>
          <w:iCs/>
          <w:color w:val="222222"/>
          <w:shd w:val="clear" w:color="auto" w:fill="FFFFFF"/>
        </w:rPr>
        <w:t>npj Mater Degrad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64132E">
        <w:rPr>
          <w:rFonts w:cstheme="minorHAnsi"/>
          <w:b/>
          <w:bCs/>
          <w:color w:val="222222"/>
          <w:shd w:val="clear" w:color="auto" w:fill="FFFFFF"/>
        </w:rPr>
        <w:t>4</w:t>
      </w:r>
      <w:r w:rsidRPr="0064132E">
        <w:rPr>
          <w:rFonts w:cstheme="minorHAnsi"/>
          <w:color w:val="222222"/>
          <w:shd w:val="clear" w:color="auto" w:fill="FFFFFF"/>
        </w:rPr>
        <w:t>, 28 (2020). https://doi.org/10.1038/s41529-020-00132-7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5A56" w14:textId="5EC41235" w:rsidR="008616FD" w:rsidRDefault="00B80339" w:rsidP="008616FD">
    <w:pPr>
      <w:pStyle w:val="NoSpacing"/>
    </w:pPr>
    <w:r>
      <w:t>N</w:t>
    </w:r>
    <w:r w:rsidR="00E5154E">
      <w:t>uclear Waste Servic</w:t>
    </w:r>
    <w:r w:rsidR="00023C4D">
      <w:t>es</w:t>
    </w:r>
    <w:r w:rsidR="008616FD">
      <w:t xml:space="preserve"> Research Support Office</w:t>
    </w:r>
  </w:p>
  <w:p w14:paraId="56E3668A" w14:textId="5261AE5C" w:rsidR="008616FD" w:rsidRDefault="008616FD" w:rsidP="008616FD">
    <w:pPr>
      <w:pStyle w:val="NoSpacing"/>
    </w:pPr>
  </w:p>
  <w:p w14:paraId="086AF12B" w14:textId="77777777" w:rsidR="008616FD" w:rsidRDefault="008616FD" w:rsidP="008616FD">
    <w:pPr>
      <w:pStyle w:val="NoSpacing"/>
    </w:pPr>
  </w:p>
  <w:p w14:paraId="18A1BEF4" w14:textId="77777777" w:rsidR="008616FD" w:rsidRDefault="008616FD" w:rsidP="008616FD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069"/>
    <w:multiLevelType w:val="hybridMultilevel"/>
    <w:tmpl w:val="2C1EC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12B0"/>
    <w:multiLevelType w:val="hybridMultilevel"/>
    <w:tmpl w:val="4DA8A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71EAC"/>
    <w:multiLevelType w:val="hybridMultilevel"/>
    <w:tmpl w:val="E312C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3AB"/>
    <w:multiLevelType w:val="hybridMultilevel"/>
    <w:tmpl w:val="FF061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475DD"/>
    <w:multiLevelType w:val="hybridMultilevel"/>
    <w:tmpl w:val="00F2A7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2D41"/>
    <w:multiLevelType w:val="hybridMultilevel"/>
    <w:tmpl w:val="AEC67BD0"/>
    <w:lvl w:ilvl="0" w:tplc="B9E6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4F1"/>
    <w:multiLevelType w:val="hybridMultilevel"/>
    <w:tmpl w:val="4A9C9440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7A2D"/>
    <w:multiLevelType w:val="hybridMultilevel"/>
    <w:tmpl w:val="E4B458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25C5"/>
    <w:multiLevelType w:val="hybridMultilevel"/>
    <w:tmpl w:val="69847EB8"/>
    <w:lvl w:ilvl="0" w:tplc="B510BEE6">
      <w:start w:val="1"/>
      <w:numFmt w:val="decimal"/>
      <w:lvlText w:val="%1."/>
      <w:lvlJc w:val="left"/>
      <w:pPr>
        <w:ind w:left="1020" w:hanging="360"/>
      </w:pPr>
    </w:lvl>
    <w:lvl w:ilvl="1" w:tplc="027A745E">
      <w:start w:val="1"/>
      <w:numFmt w:val="decimal"/>
      <w:lvlText w:val="%2."/>
      <w:lvlJc w:val="left"/>
      <w:pPr>
        <w:ind w:left="1020" w:hanging="360"/>
      </w:pPr>
    </w:lvl>
    <w:lvl w:ilvl="2" w:tplc="CC1E2616">
      <w:start w:val="1"/>
      <w:numFmt w:val="decimal"/>
      <w:lvlText w:val="%3."/>
      <w:lvlJc w:val="left"/>
      <w:pPr>
        <w:ind w:left="1020" w:hanging="360"/>
      </w:pPr>
    </w:lvl>
    <w:lvl w:ilvl="3" w:tplc="9DEE26B2">
      <w:start w:val="1"/>
      <w:numFmt w:val="decimal"/>
      <w:lvlText w:val="%4."/>
      <w:lvlJc w:val="left"/>
      <w:pPr>
        <w:ind w:left="1020" w:hanging="360"/>
      </w:pPr>
    </w:lvl>
    <w:lvl w:ilvl="4" w:tplc="D8C0D794">
      <w:start w:val="1"/>
      <w:numFmt w:val="decimal"/>
      <w:lvlText w:val="%5."/>
      <w:lvlJc w:val="left"/>
      <w:pPr>
        <w:ind w:left="1020" w:hanging="360"/>
      </w:pPr>
    </w:lvl>
    <w:lvl w:ilvl="5" w:tplc="C01A2D48">
      <w:start w:val="1"/>
      <w:numFmt w:val="decimal"/>
      <w:lvlText w:val="%6."/>
      <w:lvlJc w:val="left"/>
      <w:pPr>
        <w:ind w:left="1020" w:hanging="360"/>
      </w:pPr>
    </w:lvl>
    <w:lvl w:ilvl="6" w:tplc="7CD2F012">
      <w:start w:val="1"/>
      <w:numFmt w:val="decimal"/>
      <w:lvlText w:val="%7."/>
      <w:lvlJc w:val="left"/>
      <w:pPr>
        <w:ind w:left="1020" w:hanging="360"/>
      </w:pPr>
    </w:lvl>
    <w:lvl w:ilvl="7" w:tplc="8F8420FE">
      <w:start w:val="1"/>
      <w:numFmt w:val="decimal"/>
      <w:lvlText w:val="%8."/>
      <w:lvlJc w:val="left"/>
      <w:pPr>
        <w:ind w:left="1020" w:hanging="360"/>
      </w:pPr>
    </w:lvl>
    <w:lvl w:ilvl="8" w:tplc="063C96BE">
      <w:start w:val="1"/>
      <w:numFmt w:val="decimal"/>
      <w:lvlText w:val="%9."/>
      <w:lvlJc w:val="left"/>
      <w:pPr>
        <w:ind w:left="1020" w:hanging="360"/>
      </w:pPr>
    </w:lvl>
  </w:abstractNum>
  <w:abstractNum w:abstractNumId="9" w15:restartNumberingAfterBreak="0">
    <w:nsid w:val="304166A3"/>
    <w:multiLevelType w:val="hybridMultilevel"/>
    <w:tmpl w:val="A4B66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5453"/>
    <w:multiLevelType w:val="hybridMultilevel"/>
    <w:tmpl w:val="6CE2A4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94C3F"/>
    <w:multiLevelType w:val="hybridMultilevel"/>
    <w:tmpl w:val="AFB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2393"/>
    <w:multiLevelType w:val="hybridMultilevel"/>
    <w:tmpl w:val="2BA0E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951B9"/>
    <w:multiLevelType w:val="hybridMultilevel"/>
    <w:tmpl w:val="206402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92E8034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014884"/>
    <w:multiLevelType w:val="hybridMultilevel"/>
    <w:tmpl w:val="59207A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648DC"/>
    <w:multiLevelType w:val="hybridMultilevel"/>
    <w:tmpl w:val="0EA4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A5B19"/>
    <w:multiLevelType w:val="hybridMultilevel"/>
    <w:tmpl w:val="0BAADEB4"/>
    <w:lvl w:ilvl="0" w:tplc="3738EF20">
      <w:start w:val="1"/>
      <w:numFmt w:val="decimal"/>
      <w:lvlText w:val="%1."/>
      <w:lvlJc w:val="left"/>
      <w:pPr>
        <w:ind w:left="1020" w:hanging="360"/>
      </w:pPr>
    </w:lvl>
    <w:lvl w:ilvl="1" w:tplc="476A237C">
      <w:start w:val="1"/>
      <w:numFmt w:val="decimal"/>
      <w:lvlText w:val="%2."/>
      <w:lvlJc w:val="left"/>
      <w:pPr>
        <w:ind w:left="1020" w:hanging="360"/>
      </w:pPr>
    </w:lvl>
    <w:lvl w:ilvl="2" w:tplc="B718CB02">
      <w:start w:val="1"/>
      <w:numFmt w:val="decimal"/>
      <w:lvlText w:val="%3."/>
      <w:lvlJc w:val="left"/>
      <w:pPr>
        <w:ind w:left="1020" w:hanging="360"/>
      </w:pPr>
    </w:lvl>
    <w:lvl w:ilvl="3" w:tplc="A2982DD0">
      <w:start w:val="1"/>
      <w:numFmt w:val="decimal"/>
      <w:lvlText w:val="%4."/>
      <w:lvlJc w:val="left"/>
      <w:pPr>
        <w:ind w:left="1020" w:hanging="360"/>
      </w:pPr>
    </w:lvl>
    <w:lvl w:ilvl="4" w:tplc="FCF4A93C">
      <w:start w:val="1"/>
      <w:numFmt w:val="decimal"/>
      <w:lvlText w:val="%5."/>
      <w:lvlJc w:val="left"/>
      <w:pPr>
        <w:ind w:left="1020" w:hanging="360"/>
      </w:pPr>
    </w:lvl>
    <w:lvl w:ilvl="5" w:tplc="D04699B2">
      <w:start w:val="1"/>
      <w:numFmt w:val="decimal"/>
      <w:lvlText w:val="%6."/>
      <w:lvlJc w:val="left"/>
      <w:pPr>
        <w:ind w:left="1020" w:hanging="360"/>
      </w:pPr>
    </w:lvl>
    <w:lvl w:ilvl="6" w:tplc="F02EACC0">
      <w:start w:val="1"/>
      <w:numFmt w:val="decimal"/>
      <w:lvlText w:val="%7."/>
      <w:lvlJc w:val="left"/>
      <w:pPr>
        <w:ind w:left="1020" w:hanging="360"/>
      </w:pPr>
    </w:lvl>
    <w:lvl w:ilvl="7" w:tplc="CF98B1C2">
      <w:start w:val="1"/>
      <w:numFmt w:val="decimal"/>
      <w:lvlText w:val="%8."/>
      <w:lvlJc w:val="left"/>
      <w:pPr>
        <w:ind w:left="1020" w:hanging="360"/>
      </w:pPr>
    </w:lvl>
    <w:lvl w:ilvl="8" w:tplc="E5F20270">
      <w:start w:val="1"/>
      <w:numFmt w:val="decimal"/>
      <w:lvlText w:val="%9."/>
      <w:lvlJc w:val="left"/>
      <w:pPr>
        <w:ind w:left="1020" w:hanging="360"/>
      </w:pPr>
    </w:lvl>
  </w:abstractNum>
  <w:abstractNum w:abstractNumId="17" w15:restartNumberingAfterBreak="0">
    <w:nsid w:val="49101EB4"/>
    <w:multiLevelType w:val="hybridMultilevel"/>
    <w:tmpl w:val="093A4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C09CA"/>
    <w:multiLevelType w:val="hybridMultilevel"/>
    <w:tmpl w:val="6ACA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5780D"/>
    <w:multiLevelType w:val="hybridMultilevel"/>
    <w:tmpl w:val="6AB62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66C46"/>
    <w:multiLevelType w:val="hybridMultilevel"/>
    <w:tmpl w:val="281E6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95C76"/>
    <w:multiLevelType w:val="hybridMultilevel"/>
    <w:tmpl w:val="E68C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3AA9"/>
    <w:multiLevelType w:val="hybridMultilevel"/>
    <w:tmpl w:val="F36C30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F0C65"/>
    <w:multiLevelType w:val="hybridMultilevel"/>
    <w:tmpl w:val="8256B74E"/>
    <w:lvl w:ilvl="0" w:tplc="4FD64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3487B"/>
    <w:multiLevelType w:val="hybridMultilevel"/>
    <w:tmpl w:val="28EA1E38"/>
    <w:lvl w:ilvl="0" w:tplc="8E0030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1483F7E"/>
    <w:multiLevelType w:val="hybridMultilevel"/>
    <w:tmpl w:val="1408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21AA9"/>
    <w:multiLevelType w:val="hybridMultilevel"/>
    <w:tmpl w:val="6F42CCC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75331310">
    <w:abstractNumId w:val="6"/>
  </w:num>
  <w:num w:numId="2" w16cid:durableId="1653559733">
    <w:abstractNumId w:val="6"/>
  </w:num>
  <w:num w:numId="3" w16cid:durableId="1870680067">
    <w:abstractNumId w:val="22"/>
  </w:num>
  <w:num w:numId="4" w16cid:durableId="1324317111">
    <w:abstractNumId w:val="10"/>
  </w:num>
  <w:num w:numId="5" w16cid:durableId="1659921770">
    <w:abstractNumId w:val="26"/>
  </w:num>
  <w:num w:numId="6" w16cid:durableId="865872767">
    <w:abstractNumId w:val="2"/>
  </w:num>
  <w:num w:numId="7" w16cid:durableId="1027020948">
    <w:abstractNumId w:val="7"/>
  </w:num>
  <w:num w:numId="8" w16cid:durableId="744952785">
    <w:abstractNumId w:val="4"/>
  </w:num>
  <w:num w:numId="9" w16cid:durableId="1229726954">
    <w:abstractNumId w:val="17"/>
  </w:num>
  <w:num w:numId="10" w16cid:durableId="2107575233">
    <w:abstractNumId w:val="14"/>
  </w:num>
  <w:num w:numId="11" w16cid:durableId="1507788972">
    <w:abstractNumId w:val="9"/>
  </w:num>
  <w:num w:numId="12" w16cid:durableId="1002009876">
    <w:abstractNumId w:val="5"/>
  </w:num>
  <w:num w:numId="13" w16cid:durableId="1493986612">
    <w:abstractNumId w:val="23"/>
  </w:num>
  <w:num w:numId="14" w16cid:durableId="1270813596">
    <w:abstractNumId w:val="24"/>
  </w:num>
  <w:num w:numId="15" w16cid:durableId="325329400">
    <w:abstractNumId w:val="13"/>
  </w:num>
  <w:num w:numId="16" w16cid:durableId="1211305946">
    <w:abstractNumId w:val="25"/>
  </w:num>
  <w:num w:numId="17" w16cid:durableId="698552355">
    <w:abstractNumId w:val="8"/>
  </w:num>
  <w:num w:numId="18" w16cid:durableId="865870969">
    <w:abstractNumId w:val="16"/>
  </w:num>
  <w:num w:numId="19" w16cid:durableId="715667206">
    <w:abstractNumId w:val="20"/>
  </w:num>
  <w:num w:numId="20" w16cid:durableId="1191601090">
    <w:abstractNumId w:val="15"/>
  </w:num>
  <w:num w:numId="21" w16cid:durableId="996886981">
    <w:abstractNumId w:val="19"/>
  </w:num>
  <w:num w:numId="22" w16cid:durableId="1686982694">
    <w:abstractNumId w:val="1"/>
  </w:num>
  <w:num w:numId="23" w16cid:durableId="1566450551">
    <w:abstractNumId w:val="12"/>
  </w:num>
  <w:num w:numId="24" w16cid:durableId="2068187262">
    <w:abstractNumId w:val="0"/>
  </w:num>
  <w:num w:numId="25" w16cid:durableId="1785151227">
    <w:abstractNumId w:val="21"/>
  </w:num>
  <w:num w:numId="26" w16cid:durableId="1399402761">
    <w:abstractNumId w:val="3"/>
  </w:num>
  <w:num w:numId="27" w16cid:durableId="260770090">
    <w:abstractNumId w:val="11"/>
  </w:num>
  <w:num w:numId="28" w16cid:durableId="19293895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53"/>
    <w:rsid w:val="0000015E"/>
    <w:rsid w:val="0001533B"/>
    <w:rsid w:val="00020406"/>
    <w:rsid w:val="00023C4D"/>
    <w:rsid w:val="00030B02"/>
    <w:rsid w:val="0003278E"/>
    <w:rsid w:val="00033282"/>
    <w:rsid w:val="000358D3"/>
    <w:rsid w:val="00036F07"/>
    <w:rsid w:val="00040B51"/>
    <w:rsid w:val="0005389E"/>
    <w:rsid w:val="00057606"/>
    <w:rsid w:val="00065576"/>
    <w:rsid w:val="00070610"/>
    <w:rsid w:val="00073083"/>
    <w:rsid w:val="000730EB"/>
    <w:rsid w:val="000866B2"/>
    <w:rsid w:val="000900A0"/>
    <w:rsid w:val="00090579"/>
    <w:rsid w:val="000A52CD"/>
    <w:rsid w:val="000C4EA8"/>
    <w:rsid w:val="000C7E40"/>
    <w:rsid w:val="000D05B4"/>
    <w:rsid w:val="000D5004"/>
    <w:rsid w:val="000D63BE"/>
    <w:rsid w:val="000F1F76"/>
    <w:rsid w:val="00106C8D"/>
    <w:rsid w:val="00116D5C"/>
    <w:rsid w:val="001218CD"/>
    <w:rsid w:val="00127203"/>
    <w:rsid w:val="001356CE"/>
    <w:rsid w:val="00141286"/>
    <w:rsid w:val="0015002B"/>
    <w:rsid w:val="00152F46"/>
    <w:rsid w:val="00155181"/>
    <w:rsid w:val="00165FA0"/>
    <w:rsid w:val="00167929"/>
    <w:rsid w:val="00177BA1"/>
    <w:rsid w:val="001931CD"/>
    <w:rsid w:val="001941B0"/>
    <w:rsid w:val="00197346"/>
    <w:rsid w:val="001A0B62"/>
    <w:rsid w:val="001A53B1"/>
    <w:rsid w:val="001A547F"/>
    <w:rsid w:val="001B5D55"/>
    <w:rsid w:val="001B79D4"/>
    <w:rsid w:val="001C486E"/>
    <w:rsid w:val="001C764B"/>
    <w:rsid w:val="001D4D20"/>
    <w:rsid w:val="001F382F"/>
    <w:rsid w:val="001F5C5D"/>
    <w:rsid w:val="00200B21"/>
    <w:rsid w:val="00201BA6"/>
    <w:rsid w:val="00213B71"/>
    <w:rsid w:val="00214413"/>
    <w:rsid w:val="002252F3"/>
    <w:rsid w:val="0023776E"/>
    <w:rsid w:val="00241E89"/>
    <w:rsid w:val="00262BD3"/>
    <w:rsid w:val="00271849"/>
    <w:rsid w:val="00285574"/>
    <w:rsid w:val="002A1472"/>
    <w:rsid w:val="002A257C"/>
    <w:rsid w:val="002A336C"/>
    <w:rsid w:val="002A6518"/>
    <w:rsid w:val="002B5A67"/>
    <w:rsid w:val="002C3CB5"/>
    <w:rsid w:val="002E1C55"/>
    <w:rsid w:val="00304E11"/>
    <w:rsid w:val="00307344"/>
    <w:rsid w:val="00307C3D"/>
    <w:rsid w:val="00320091"/>
    <w:rsid w:val="00322C5D"/>
    <w:rsid w:val="00323B16"/>
    <w:rsid w:val="003344B8"/>
    <w:rsid w:val="00346306"/>
    <w:rsid w:val="00346DD1"/>
    <w:rsid w:val="00347FD2"/>
    <w:rsid w:val="003517B8"/>
    <w:rsid w:val="00351AE7"/>
    <w:rsid w:val="00352F20"/>
    <w:rsid w:val="00353E12"/>
    <w:rsid w:val="00355552"/>
    <w:rsid w:val="00361D44"/>
    <w:rsid w:val="00363C67"/>
    <w:rsid w:val="00371110"/>
    <w:rsid w:val="00373065"/>
    <w:rsid w:val="003758B7"/>
    <w:rsid w:val="00376EC4"/>
    <w:rsid w:val="00386E8B"/>
    <w:rsid w:val="003900D3"/>
    <w:rsid w:val="00391234"/>
    <w:rsid w:val="00391FAA"/>
    <w:rsid w:val="003969A2"/>
    <w:rsid w:val="003A6EC0"/>
    <w:rsid w:val="003B49A4"/>
    <w:rsid w:val="003C56CD"/>
    <w:rsid w:val="003D4569"/>
    <w:rsid w:val="003D60E5"/>
    <w:rsid w:val="003F21D3"/>
    <w:rsid w:val="00411AA7"/>
    <w:rsid w:val="00412EDE"/>
    <w:rsid w:val="00413A8B"/>
    <w:rsid w:val="0042103F"/>
    <w:rsid w:val="00421986"/>
    <w:rsid w:val="004245C5"/>
    <w:rsid w:val="00426286"/>
    <w:rsid w:val="00433BB1"/>
    <w:rsid w:val="00437D8A"/>
    <w:rsid w:val="004447E5"/>
    <w:rsid w:val="00446F3E"/>
    <w:rsid w:val="0044716D"/>
    <w:rsid w:val="0045047C"/>
    <w:rsid w:val="00456A74"/>
    <w:rsid w:val="004574A9"/>
    <w:rsid w:val="004634B5"/>
    <w:rsid w:val="0046540C"/>
    <w:rsid w:val="00470485"/>
    <w:rsid w:val="00470FD9"/>
    <w:rsid w:val="00471CC7"/>
    <w:rsid w:val="0047329A"/>
    <w:rsid w:val="0048675D"/>
    <w:rsid w:val="004917CE"/>
    <w:rsid w:val="00493806"/>
    <w:rsid w:val="004A147C"/>
    <w:rsid w:val="004A6C79"/>
    <w:rsid w:val="004D016B"/>
    <w:rsid w:val="004D0280"/>
    <w:rsid w:val="004D3EB7"/>
    <w:rsid w:val="004D64EB"/>
    <w:rsid w:val="004F405C"/>
    <w:rsid w:val="004F750D"/>
    <w:rsid w:val="004F7CDA"/>
    <w:rsid w:val="00512713"/>
    <w:rsid w:val="00512E60"/>
    <w:rsid w:val="005160F9"/>
    <w:rsid w:val="00527D4B"/>
    <w:rsid w:val="00530824"/>
    <w:rsid w:val="0054441B"/>
    <w:rsid w:val="00550867"/>
    <w:rsid w:val="00553FF2"/>
    <w:rsid w:val="005560FA"/>
    <w:rsid w:val="00580F31"/>
    <w:rsid w:val="00585C19"/>
    <w:rsid w:val="00597309"/>
    <w:rsid w:val="00597982"/>
    <w:rsid w:val="005B09DD"/>
    <w:rsid w:val="005B64C7"/>
    <w:rsid w:val="005C5DD3"/>
    <w:rsid w:val="005C6CBB"/>
    <w:rsid w:val="005D1532"/>
    <w:rsid w:val="005D348E"/>
    <w:rsid w:val="005D50B6"/>
    <w:rsid w:val="005D6828"/>
    <w:rsid w:val="005D79F4"/>
    <w:rsid w:val="005D7E69"/>
    <w:rsid w:val="005E5F01"/>
    <w:rsid w:val="005E63DD"/>
    <w:rsid w:val="005F6652"/>
    <w:rsid w:val="005F6E0A"/>
    <w:rsid w:val="00603FEC"/>
    <w:rsid w:val="006041C2"/>
    <w:rsid w:val="00615130"/>
    <w:rsid w:val="00616537"/>
    <w:rsid w:val="00617F83"/>
    <w:rsid w:val="00637135"/>
    <w:rsid w:val="0064132E"/>
    <w:rsid w:val="006477D4"/>
    <w:rsid w:val="00647CBC"/>
    <w:rsid w:val="00653E75"/>
    <w:rsid w:val="006612F6"/>
    <w:rsid w:val="00661D96"/>
    <w:rsid w:val="00664344"/>
    <w:rsid w:val="00680FBB"/>
    <w:rsid w:val="0069477F"/>
    <w:rsid w:val="006955DA"/>
    <w:rsid w:val="006A03E2"/>
    <w:rsid w:val="006A22FD"/>
    <w:rsid w:val="006A7FCF"/>
    <w:rsid w:val="006B43F1"/>
    <w:rsid w:val="006C056A"/>
    <w:rsid w:val="006C0ACC"/>
    <w:rsid w:val="006D784F"/>
    <w:rsid w:val="006E4661"/>
    <w:rsid w:val="006E58DA"/>
    <w:rsid w:val="006E5E10"/>
    <w:rsid w:val="006F4411"/>
    <w:rsid w:val="006F7E62"/>
    <w:rsid w:val="00703343"/>
    <w:rsid w:val="00703424"/>
    <w:rsid w:val="00706284"/>
    <w:rsid w:val="007249A0"/>
    <w:rsid w:val="00725504"/>
    <w:rsid w:val="007258C0"/>
    <w:rsid w:val="00734D76"/>
    <w:rsid w:val="00736202"/>
    <w:rsid w:val="007453B6"/>
    <w:rsid w:val="007502DB"/>
    <w:rsid w:val="00763AE8"/>
    <w:rsid w:val="0076426F"/>
    <w:rsid w:val="00776675"/>
    <w:rsid w:val="007862B2"/>
    <w:rsid w:val="007A5DA2"/>
    <w:rsid w:val="007C6B0D"/>
    <w:rsid w:val="007C6EA5"/>
    <w:rsid w:val="007C78DC"/>
    <w:rsid w:val="007D141C"/>
    <w:rsid w:val="007D2CB8"/>
    <w:rsid w:val="007D3DE8"/>
    <w:rsid w:val="007F2EC5"/>
    <w:rsid w:val="007F6447"/>
    <w:rsid w:val="008079DB"/>
    <w:rsid w:val="0081463D"/>
    <w:rsid w:val="008164B4"/>
    <w:rsid w:val="008227FA"/>
    <w:rsid w:val="008271CD"/>
    <w:rsid w:val="00831434"/>
    <w:rsid w:val="00833792"/>
    <w:rsid w:val="008405B6"/>
    <w:rsid w:val="00844D16"/>
    <w:rsid w:val="008454CE"/>
    <w:rsid w:val="008456B4"/>
    <w:rsid w:val="008512FA"/>
    <w:rsid w:val="00854CC6"/>
    <w:rsid w:val="0085795B"/>
    <w:rsid w:val="008616FD"/>
    <w:rsid w:val="008639E4"/>
    <w:rsid w:val="0086675B"/>
    <w:rsid w:val="00877275"/>
    <w:rsid w:val="00877303"/>
    <w:rsid w:val="00884D90"/>
    <w:rsid w:val="00886195"/>
    <w:rsid w:val="008879A6"/>
    <w:rsid w:val="008902E3"/>
    <w:rsid w:val="008A447B"/>
    <w:rsid w:val="008A49E7"/>
    <w:rsid w:val="008A6604"/>
    <w:rsid w:val="008B3A23"/>
    <w:rsid w:val="008D357F"/>
    <w:rsid w:val="008D56DF"/>
    <w:rsid w:val="008E3570"/>
    <w:rsid w:val="008E3FB8"/>
    <w:rsid w:val="008E5A35"/>
    <w:rsid w:val="008E5BDB"/>
    <w:rsid w:val="008F373D"/>
    <w:rsid w:val="008F470C"/>
    <w:rsid w:val="00904481"/>
    <w:rsid w:val="009049CD"/>
    <w:rsid w:val="00906C87"/>
    <w:rsid w:val="00907F7C"/>
    <w:rsid w:val="00920DB9"/>
    <w:rsid w:val="00942A82"/>
    <w:rsid w:val="00947842"/>
    <w:rsid w:val="00953B70"/>
    <w:rsid w:val="00956ECA"/>
    <w:rsid w:val="009604C5"/>
    <w:rsid w:val="009643F1"/>
    <w:rsid w:val="0096758B"/>
    <w:rsid w:val="009705BB"/>
    <w:rsid w:val="00971BCE"/>
    <w:rsid w:val="00972EBE"/>
    <w:rsid w:val="009818CC"/>
    <w:rsid w:val="00982007"/>
    <w:rsid w:val="00983FF9"/>
    <w:rsid w:val="00984568"/>
    <w:rsid w:val="00991406"/>
    <w:rsid w:val="009914C6"/>
    <w:rsid w:val="00996616"/>
    <w:rsid w:val="009A1418"/>
    <w:rsid w:val="009A17BB"/>
    <w:rsid w:val="009B25C1"/>
    <w:rsid w:val="009C635B"/>
    <w:rsid w:val="009D06F4"/>
    <w:rsid w:val="009D18AE"/>
    <w:rsid w:val="009E58D0"/>
    <w:rsid w:val="009F12E7"/>
    <w:rsid w:val="00A10744"/>
    <w:rsid w:val="00A12E91"/>
    <w:rsid w:val="00A1706B"/>
    <w:rsid w:val="00A21B51"/>
    <w:rsid w:val="00A27529"/>
    <w:rsid w:val="00A3071F"/>
    <w:rsid w:val="00A318E5"/>
    <w:rsid w:val="00A33E63"/>
    <w:rsid w:val="00A57A54"/>
    <w:rsid w:val="00A6541C"/>
    <w:rsid w:val="00A65910"/>
    <w:rsid w:val="00A674B1"/>
    <w:rsid w:val="00A725EE"/>
    <w:rsid w:val="00A727F9"/>
    <w:rsid w:val="00A75663"/>
    <w:rsid w:val="00A8567D"/>
    <w:rsid w:val="00A958BF"/>
    <w:rsid w:val="00AA3166"/>
    <w:rsid w:val="00AB131C"/>
    <w:rsid w:val="00AB1B5F"/>
    <w:rsid w:val="00AB2CC3"/>
    <w:rsid w:val="00AB3E3B"/>
    <w:rsid w:val="00AC1D36"/>
    <w:rsid w:val="00AC6F19"/>
    <w:rsid w:val="00AC7882"/>
    <w:rsid w:val="00AD4B9D"/>
    <w:rsid w:val="00AF652C"/>
    <w:rsid w:val="00B01EC0"/>
    <w:rsid w:val="00B07393"/>
    <w:rsid w:val="00B13DE3"/>
    <w:rsid w:val="00B17489"/>
    <w:rsid w:val="00B21CFA"/>
    <w:rsid w:val="00B30056"/>
    <w:rsid w:val="00B34A30"/>
    <w:rsid w:val="00B357B5"/>
    <w:rsid w:val="00B3738C"/>
    <w:rsid w:val="00B41832"/>
    <w:rsid w:val="00B42914"/>
    <w:rsid w:val="00B44F18"/>
    <w:rsid w:val="00B45D9A"/>
    <w:rsid w:val="00B46424"/>
    <w:rsid w:val="00B61478"/>
    <w:rsid w:val="00B6247A"/>
    <w:rsid w:val="00B6286F"/>
    <w:rsid w:val="00B64962"/>
    <w:rsid w:val="00B669B8"/>
    <w:rsid w:val="00B67172"/>
    <w:rsid w:val="00B70B63"/>
    <w:rsid w:val="00B74888"/>
    <w:rsid w:val="00B80339"/>
    <w:rsid w:val="00B91B21"/>
    <w:rsid w:val="00B941F1"/>
    <w:rsid w:val="00BA7E28"/>
    <w:rsid w:val="00BB5990"/>
    <w:rsid w:val="00BB5BD8"/>
    <w:rsid w:val="00BE1DE4"/>
    <w:rsid w:val="00BE3D7C"/>
    <w:rsid w:val="00BE55D3"/>
    <w:rsid w:val="00BE5FFF"/>
    <w:rsid w:val="00BF4101"/>
    <w:rsid w:val="00BF6A64"/>
    <w:rsid w:val="00BF6EF7"/>
    <w:rsid w:val="00BF71AE"/>
    <w:rsid w:val="00C01FCF"/>
    <w:rsid w:val="00C06520"/>
    <w:rsid w:val="00C14F5F"/>
    <w:rsid w:val="00C26020"/>
    <w:rsid w:val="00C36D14"/>
    <w:rsid w:val="00C432D1"/>
    <w:rsid w:val="00C50316"/>
    <w:rsid w:val="00C51363"/>
    <w:rsid w:val="00C53DD1"/>
    <w:rsid w:val="00C579ED"/>
    <w:rsid w:val="00C60CD5"/>
    <w:rsid w:val="00C675D3"/>
    <w:rsid w:val="00C72FEA"/>
    <w:rsid w:val="00C82E5B"/>
    <w:rsid w:val="00C91D5C"/>
    <w:rsid w:val="00C9521A"/>
    <w:rsid w:val="00CA2F1A"/>
    <w:rsid w:val="00CA4DB3"/>
    <w:rsid w:val="00CB35B5"/>
    <w:rsid w:val="00CC2468"/>
    <w:rsid w:val="00CC6EA3"/>
    <w:rsid w:val="00CD0DEC"/>
    <w:rsid w:val="00CD508B"/>
    <w:rsid w:val="00CE1D00"/>
    <w:rsid w:val="00CE6102"/>
    <w:rsid w:val="00CF1C1C"/>
    <w:rsid w:val="00CF3B21"/>
    <w:rsid w:val="00CF5398"/>
    <w:rsid w:val="00CF7253"/>
    <w:rsid w:val="00D00902"/>
    <w:rsid w:val="00D13B4E"/>
    <w:rsid w:val="00D24560"/>
    <w:rsid w:val="00D24E95"/>
    <w:rsid w:val="00D32912"/>
    <w:rsid w:val="00D35116"/>
    <w:rsid w:val="00D352CB"/>
    <w:rsid w:val="00D54975"/>
    <w:rsid w:val="00D57BD2"/>
    <w:rsid w:val="00D62093"/>
    <w:rsid w:val="00D62338"/>
    <w:rsid w:val="00D85D46"/>
    <w:rsid w:val="00D90104"/>
    <w:rsid w:val="00DB11E9"/>
    <w:rsid w:val="00DC7B77"/>
    <w:rsid w:val="00DC7FE3"/>
    <w:rsid w:val="00DF531B"/>
    <w:rsid w:val="00E06276"/>
    <w:rsid w:val="00E07874"/>
    <w:rsid w:val="00E17478"/>
    <w:rsid w:val="00E226E1"/>
    <w:rsid w:val="00E24401"/>
    <w:rsid w:val="00E310FC"/>
    <w:rsid w:val="00E354EF"/>
    <w:rsid w:val="00E378C2"/>
    <w:rsid w:val="00E5020E"/>
    <w:rsid w:val="00E5154E"/>
    <w:rsid w:val="00E63896"/>
    <w:rsid w:val="00E65208"/>
    <w:rsid w:val="00E65CC2"/>
    <w:rsid w:val="00E776EE"/>
    <w:rsid w:val="00E80381"/>
    <w:rsid w:val="00E83DF9"/>
    <w:rsid w:val="00E85698"/>
    <w:rsid w:val="00E96977"/>
    <w:rsid w:val="00EA0EBA"/>
    <w:rsid w:val="00EB5F0F"/>
    <w:rsid w:val="00ED4946"/>
    <w:rsid w:val="00EE6B71"/>
    <w:rsid w:val="00EF0553"/>
    <w:rsid w:val="00EF062A"/>
    <w:rsid w:val="00EF36BA"/>
    <w:rsid w:val="00EF489A"/>
    <w:rsid w:val="00EF4DA9"/>
    <w:rsid w:val="00F16CAC"/>
    <w:rsid w:val="00F215EB"/>
    <w:rsid w:val="00F27E84"/>
    <w:rsid w:val="00F30FC2"/>
    <w:rsid w:val="00F31FAF"/>
    <w:rsid w:val="00F333F8"/>
    <w:rsid w:val="00F4083B"/>
    <w:rsid w:val="00F441D1"/>
    <w:rsid w:val="00F4496A"/>
    <w:rsid w:val="00F45A53"/>
    <w:rsid w:val="00F5431E"/>
    <w:rsid w:val="00F55527"/>
    <w:rsid w:val="00F56AA7"/>
    <w:rsid w:val="00F757DA"/>
    <w:rsid w:val="00F77D66"/>
    <w:rsid w:val="00F77F8D"/>
    <w:rsid w:val="00F83247"/>
    <w:rsid w:val="00F879B8"/>
    <w:rsid w:val="00F96286"/>
    <w:rsid w:val="00FA6E88"/>
    <w:rsid w:val="00FB1B28"/>
    <w:rsid w:val="00FB2B6C"/>
    <w:rsid w:val="00FB6A8B"/>
    <w:rsid w:val="00FB74DC"/>
    <w:rsid w:val="00FC0B97"/>
    <w:rsid w:val="00FC4127"/>
    <w:rsid w:val="00FC6288"/>
    <w:rsid w:val="00FD2750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051F"/>
  <w15:chartTrackingRefBased/>
  <w15:docId w15:val="{31E7AF93-CEAE-40EA-8C01-DC660E19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DA9"/>
    <w:pPr>
      <w:spacing w:after="0" w:line="240" w:lineRule="auto"/>
      <w:outlineLvl w:val="0"/>
    </w:pPr>
    <w:rPr>
      <w:rFonts w:ascii="Arial" w:eastAsia="Times New Roman" w:hAnsi="Arial" w:cs="Arial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4DA9"/>
    <w:pPr>
      <w:outlineLvl w:val="1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A9"/>
  </w:style>
  <w:style w:type="paragraph" w:styleId="Footer">
    <w:name w:val="footer"/>
    <w:basedOn w:val="Normal"/>
    <w:link w:val="FooterChar"/>
    <w:uiPriority w:val="99"/>
    <w:unhideWhenUsed/>
    <w:rsid w:val="00EF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A9"/>
  </w:style>
  <w:style w:type="character" w:customStyle="1" w:styleId="Heading1Char">
    <w:name w:val="Heading 1 Char"/>
    <w:basedOn w:val="DefaultParagraphFont"/>
    <w:link w:val="Heading1"/>
    <w:uiPriority w:val="9"/>
    <w:rsid w:val="00EF4DA9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4DA9"/>
    <w:rPr>
      <w:rFonts w:ascii="Arial" w:eastAsia="Times New Roman" w:hAnsi="Arial" w:cs="Arial"/>
      <w:b/>
      <w:szCs w:val="20"/>
    </w:rPr>
  </w:style>
  <w:style w:type="paragraph" w:styleId="NoSpacing">
    <w:name w:val="No Spacing"/>
    <w:uiPriority w:val="1"/>
    <w:qFormat/>
    <w:rsid w:val="00EF4DA9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E58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8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3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4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4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3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3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E12"/>
    <w:rPr>
      <w:vertAlign w:val="superscript"/>
    </w:rPr>
  </w:style>
  <w:style w:type="paragraph" w:styleId="Revision">
    <w:name w:val="Revision"/>
    <w:hidden/>
    <w:uiPriority w:val="99"/>
    <w:semiHidden/>
    <w:rsid w:val="00E50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o-gdf@manche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o-gdf@manchest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media/605cb82fd3bf7f2f112f0f84/NDA_Strategy_2021_A.pdf" TargetMode="External"/><Relationship Id="rId1" Type="http://schemas.openxmlformats.org/officeDocument/2006/relationships/hyperlink" Target="https://assets.publishing.service.gov.uk/media/5c9e3e0140f0b625e1cbd851/Progress_on_Plutoni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F89D99D1C8B4490675B45E32BE815" ma:contentTypeVersion="11" ma:contentTypeDescription="Create a new document." ma:contentTypeScope="" ma:versionID="0232cf2b81800df7ce7003061552ec87">
  <xsd:schema xmlns:xsd="http://www.w3.org/2001/XMLSchema" xmlns:xs="http://www.w3.org/2001/XMLSchema" xmlns:p="http://schemas.microsoft.com/office/2006/metadata/properties" xmlns:ns2="c1b1cdb6-170d-4456-a808-0c7e4f35cca8" xmlns:ns3="c6633a5d-746e-4c46-ae01-cf75c812aa55" targetNamespace="http://schemas.microsoft.com/office/2006/metadata/properties" ma:root="true" ma:fieldsID="14f339c441be8f0be277b57b0d828b23" ns2:_="" ns3:_="">
    <xsd:import namespace="c1b1cdb6-170d-4456-a808-0c7e4f35cca8"/>
    <xsd:import namespace="c6633a5d-746e-4c46-ae01-cf75c812a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cdb6-170d-4456-a808-0c7e4f35c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33a5d-746e-4c46-ae01-cf75c812a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509B6-31AF-4A0C-A17F-83C06592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1cdb6-170d-4456-a808-0c7e4f35cca8"/>
    <ds:schemaRef ds:uri="c6633a5d-746e-4c46-ae01-cf75c812a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DA090-4E8C-4872-B8AA-EFB73E3CA1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D8385-419D-4119-B138-FAB79CEB0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C8AAC4-39A9-413E-8ABB-F846407BD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Patrick Hackett (FSE)</cp:lastModifiedBy>
  <cp:revision>5</cp:revision>
  <dcterms:created xsi:type="dcterms:W3CDTF">2024-04-26T13:40:00Z</dcterms:created>
  <dcterms:modified xsi:type="dcterms:W3CDTF">2024-05-07T21:59:00Z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0x010100720F89D99D1C8B4490675B45E32BE815</vt:lpwstr>
  </property>
  <property fmtid="{D5CDD505-2E9C-101B-9397-08002B2CF9AE}" pid="3" name="MSIP_Label_630c0ab6-a5d1-409a-be46-926fb63016fe_Enabled">
    <vt:lpwstr>true</vt:lpwstr>
  </property>
  <property fmtid="{D5CDD505-2E9C-101B-9397-08002B2CF9AE}" pid="4" name="MSIP_Label_630c0ab6-a5d1-409a-be46-926fb63016fe_SetDate">
    <vt:lpwstr>2024-04-06T10:26:36Z</vt:lpwstr>
  </property>
  <property fmtid="{D5CDD505-2E9C-101B-9397-08002B2CF9AE}" pid="5" name="MSIP_Label_630c0ab6-a5d1-409a-be46-926fb63016fe_Method">
    <vt:lpwstr>Privileged</vt:lpwstr>
  </property>
  <property fmtid="{D5CDD505-2E9C-101B-9397-08002B2CF9AE}" pid="6" name="MSIP_Label_630c0ab6-a5d1-409a-be46-926fb63016fe_Name">
    <vt:lpwstr>OFFICIAL-No-Marking</vt:lpwstr>
  </property>
  <property fmtid="{D5CDD505-2E9C-101B-9397-08002B2CF9AE}" pid="7" name="MSIP_Label_630c0ab6-a5d1-409a-be46-926fb63016fe_SiteId">
    <vt:lpwstr>1929b5b6-230e-4b2e-837a-b96f0a9b1b56</vt:lpwstr>
  </property>
  <property fmtid="{D5CDD505-2E9C-101B-9397-08002B2CF9AE}" pid="8" name="MSIP_Label_630c0ab6-a5d1-409a-be46-926fb63016fe_ActionId">
    <vt:lpwstr>5d5e6079-d64e-4812-a3aa-c7b6ea0ff964</vt:lpwstr>
  </property>
  <property fmtid="{D5CDD505-2E9C-101B-9397-08002B2CF9AE}" pid="9" name="MSIP_Label_630c0ab6-a5d1-409a-be46-926fb63016fe_ContentBits">
    <vt:lpwstr>0</vt:lpwstr>
  </property>
</Properties>
</file>